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29A" w:rsidRDefault="00940314" w:rsidP="00C52D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0DA4">
        <w:rPr>
          <w:rFonts w:ascii="Times New Roman" w:hAnsi="Times New Roman" w:cs="Times New Roman"/>
          <w:sz w:val="24"/>
          <w:szCs w:val="24"/>
        </w:rPr>
        <w:t xml:space="preserve">   </w:t>
      </w:r>
      <w:r w:rsidR="00E7229A">
        <w:rPr>
          <w:rFonts w:ascii="Times New Roman" w:hAnsi="Times New Roman" w:cs="Times New Roman"/>
          <w:sz w:val="24"/>
          <w:szCs w:val="24"/>
        </w:rPr>
        <w:t xml:space="preserve">        </w:t>
      </w:r>
    </w:p>
    <w:p w:rsidR="00E7229A" w:rsidRDefault="00E7229A" w:rsidP="00C52D76">
      <w:pPr>
        <w:spacing w:after="0" w:line="240" w:lineRule="auto"/>
        <w:rPr>
          <w:rFonts w:ascii="Times New Roman" w:hAnsi="Times New Roman" w:cs="Times New Roman"/>
          <w:sz w:val="24"/>
          <w:szCs w:val="24"/>
        </w:rPr>
      </w:pPr>
    </w:p>
    <w:p w:rsidR="00E7229A" w:rsidRDefault="00E7229A" w:rsidP="00C52D76">
      <w:pPr>
        <w:spacing w:after="0" w:line="240" w:lineRule="auto"/>
        <w:rPr>
          <w:rFonts w:ascii="Times New Roman" w:hAnsi="Times New Roman" w:cs="Times New Roman"/>
          <w:sz w:val="24"/>
          <w:szCs w:val="24"/>
        </w:rPr>
      </w:pPr>
    </w:p>
    <w:p w:rsidR="00E7229A" w:rsidRPr="004A377B" w:rsidRDefault="001622EC" w:rsidP="00C52D76">
      <w:pPr>
        <w:spacing w:after="0" w:line="240" w:lineRule="auto"/>
        <w:jc w:val="center"/>
        <w:rPr>
          <w:rFonts w:ascii="Times New Roman" w:hAnsi="Times New Roman" w:cs="Times New Roman"/>
          <w:sz w:val="36"/>
          <w:szCs w:val="36"/>
        </w:rPr>
      </w:pPr>
      <w:bookmarkStart w:id="0" w:name="_GoBack"/>
      <w:r>
        <w:rPr>
          <w:rFonts w:ascii="Times New Roman" w:hAnsi="Times New Roman" w:cs="Times New Roman"/>
          <w:sz w:val="36"/>
          <w:szCs w:val="36"/>
        </w:rPr>
        <w:t>U</w:t>
      </w:r>
      <w:r w:rsidR="00E7229A" w:rsidRPr="004A377B">
        <w:rPr>
          <w:rFonts w:ascii="Times New Roman" w:hAnsi="Times New Roman" w:cs="Times New Roman"/>
          <w:sz w:val="36"/>
          <w:szCs w:val="36"/>
        </w:rPr>
        <w:t>nderstanding the Centrality of the Appointments Clause as a Structural Safeguard of Our Scheme of Separated Powers</w:t>
      </w:r>
      <w:bookmarkEnd w:id="0"/>
      <w:r w:rsidR="00E7229A" w:rsidRPr="004A377B">
        <w:rPr>
          <w:rFonts w:ascii="Times New Roman" w:hAnsi="Times New Roman" w:cs="Times New Roman"/>
          <w:sz w:val="36"/>
          <w:szCs w:val="36"/>
        </w:rPr>
        <w:t>: The Senate’s Exclusive and Plenary Confirmation Power Trumps Presidential Intrasession Recess Appointment</w:t>
      </w:r>
      <w:r>
        <w:rPr>
          <w:rFonts w:ascii="Times New Roman" w:hAnsi="Times New Roman" w:cs="Times New Roman"/>
          <w:sz w:val="36"/>
          <w:szCs w:val="36"/>
        </w:rPr>
        <w:t>s</w:t>
      </w: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Default="00E7229A" w:rsidP="00B74AEC">
      <w:pPr>
        <w:spacing w:after="0" w:line="240" w:lineRule="auto"/>
        <w:rPr>
          <w:rFonts w:ascii="Times New Roman" w:hAnsi="Times New Roman" w:cs="Times New Roman"/>
          <w:sz w:val="32"/>
          <w:szCs w:val="32"/>
        </w:rPr>
      </w:pPr>
    </w:p>
    <w:p w:rsidR="00E7229A" w:rsidRPr="00DF0FC2" w:rsidRDefault="00E7229A" w:rsidP="00B74AEC">
      <w:pPr>
        <w:spacing w:after="0" w:line="240" w:lineRule="auto"/>
        <w:rPr>
          <w:rFonts w:ascii="Times New Roman" w:hAnsi="Times New Roman" w:cs="Times New Roman"/>
          <w:sz w:val="32"/>
          <w:szCs w:val="32"/>
        </w:rPr>
      </w:pPr>
    </w:p>
    <w:p w:rsidR="00E7229A" w:rsidRPr="004A377B" w:rsidRDefault="00E7229A" w:rsidP="00B74AEC">
      <w:pPr>
        <w:spacing w:after="0" w:line="240" w:lineRule="auto"/>
        <w:jc w:val="center"/>
        <w:rPr>
          <w:rFonts w:ascii="Times New Roman" w:hAnsi="Times New Roman" w:cs="Times New Roman"/>
          <w:sz w:val="36"/>
          <w:szCs w:val="36"/>
        </w:rPr>
      </w:pPr>
      <w:r w:rsidRPr="004A377B">
        <w:rPr>
          <w:rFonts w:ascii="Times New Roman" w:hAnsi="Times New Roman" w:cs="Times New Roman"/>
          <w:sz w:val="36"/>
          <w:szCs w:val="36"/>
        </w:rPr>
        <w:t>Morton Rosenberg</w:t>
      </w:r>
    </w:p>
    <w:p w:rsidR="00E7229A" w:rsidRPr="004A377B" w:rsidRDefault="00E7229A" w:rsidP="00B74AEC">
      <w:pPr>
        <w:spacing w:after="0" w:line="240" w:lineRule="auto"/>
        <w:jc w:val="center"/>
        <w:rPr>
          <w:rFonts w:ascii="Times New Roman" w:hAnsi="Times New Roman" w:cs="Times New Roman"/>
          <w:sz w:val="36"/>
          <w:szCs w:val="36"/>
        </w:rPr>
      </w:pPr>
      <w:r w:rsidRPr="004A377B">
        <w:rPr>
          <w:rFonts w:ascii="Times New Roman" w:hAnsi="Times New Roman" w:cs="Times New Roman"/>
          <w:sz w:val="36"/>
          <w:szCs w:val="36"/>
        </w:rPr>
        <w:t>Constitution Project Fellow</w:t>
      </w:r>
    </w:p>
    <w:p w:rsidR="00E7229A" w:rsidRPr="004A377B" w:rsidRDefault="00473C1F" w:rsidP="00B74AEC">
      <w:pPr>
        <w:spacing w:after="0" w:line="240" w:lineRule="auto"/>
        <w:jc w:val="center"/>
        <w:rPr>
          <w:rFonts w:ascii="Times New Roman" w:hAnsi="Times New Roman" w:cs="Times New Roman"/>
          <w:sz w:val="28"/>
          <w:szCs w:val="28"/>
        </w:rPr>
        <w:sectPr w:rsidR="00E7229A" w:rsidRPr="004A377B" w:rsidSect="00A2769D">
          <w:footerReference w:type="even" r:id="rId9"/>
          <w:footerReference w:type="default" r:id="rId10"/>
          <w:footerReference w:type="first" r:id="rId11"/>
          <w:type w:val="continuous"/>
          <w:pgSz w:w="12240" w:h="15840"/>
          <w:pgMar w:top="1440" w:right="1440" w:bottom="1440" w:left="1440" w:header="720" w:footer="720" w:gutter="0"/>
          <w:pgNumType w:start="3"/>
          <w:cols w:space="720"/>
          <w:titlePg/>
          <w:docGrid w:linePitch="360"/>
        </w:sectPr>
      </w:pPr>
      <w:r>
        <w:rPr>
          <w:rFonts w:ascii="Times New Roman" w:hAnsi="Times New Roman" w:cs="Times New Roman"/>
          <w:sz w:val="36"/>
          <w:szCs w:val="36"/>
        </w:rPr>
        <w:t xml:space="preserve"> </w:t>
      </w:r>
      <w:r w:rsidR="005B3078">
        <w:rPr>
          <w:rFonts w:ascii="Times New Roman" w:hAnsi="Times New Roman" w:cs="Times New Roman"/>
          <w:sz w:val="36"/>
          <w:szCs w:val="36"/>
        </w:rPr>
        <w:t xml:space="preserve">September </w:t>
      </w:r>
      <w:r w:rsidR="00795F3D">
        <w:rPr>
          <w:rFonts w:ascii="Times New Roman" w:hAnsi="Times New Roman" w:cs="Times New Roman"/>
          <w:sz w:val="36"/>
          <w:szCs w:val="36"/>
        </w:rPr>
        <w:t>3</w:t>
      </w:r>
      <w:r>
        <w:rPr>
          <w:rFonts w:ascii="Times New Roman" w:hAnsi="Times New Roman" w:cs="Times New Roman"/>
          <w:sz w:val="36"/>
          <w:szCs w:val="36"/>
        </w:rPr>
        <w:t>, 2012</w:t>
      </w:r>
    </w:p>
    <w:p w:rsidR="00E7229A" w:rsidRPr="00B74AEC" w:rsidRDefault="00E7229A" w:rsidP="00B74AEC">
      <w:pPr>
        <w:spacing w:after="0" w:line="240" w:lineRule="auto"/>
        <w:jc w:val="center"/>
        <w:rPr>
          <w:rFonts w:ascii="Times New Roman" w:hAnsi="Times New Roman" w:cs="Times New Roman"/>
          <w:sz w:val="28"/>
          <w:szCs w:val="28"/>
          <w:u w:val="single"/>
        </w:rPr>
      </w:pPr>
      <w:r w:rsidRPr="00B74AEC">
        <w:rPr>
          <w:rFonts w:ascii="Times New Roman" w:hAnsi="Times New Roman" w:cs="Times New Roman"/>
          <w:sz w:val="28"/>
          <w:szCs w:val="28"/>
          <w:u w:val="single"/>
        </w:rPr>
        <w:lastRenderedPageBreak/>
        <w:t>Executive Summary</w:t>
      </w:r>
    </w:p>
    <w:p w:rsidR="00E7229A" w:rsidRPr="00B74AEC" w:rsidRDefault="00E7229A" w:rsidP="00B74AEC">
      <w:pPr>
        <w:spacing w:after="0" w:line="240" w:lineRule="auto"/>
        <w:rPr>
          <w:rFonts w:ascii="Times New Roman" w:hAnsi="Times New Roman" w:cs="Times New Roman"/>
          <w:sz w:val="27"/>
          <w:szCs w:val="27"/>
        </w:rPr>
      </w:pPr>
    </w:p>
    <w:p w:rsidR="00E7229A" w:rsidRPr="00B74AEC" w:rsidRDefault="00E7229A" w:rsidP="00B74AEC">
      <w:pPr>
        <w:spacing w:after="0" w:line="240" w:lineRule="auto"/>
        <w:rPr>
          <w:rFonts w:ascii="Times New Roman" w:hAnsi="Times New Roman" w:cs="Times New Roman"/>
          <w:sz w:val="27"/>
          <w:szCs w:val="27"/>
        </w:rPr>
      </w:pPr>
    </w:p>
    <w:p w:rsidR="00E7229A" w:rsidRPr="00B74AEC" w:rsidRDefault="00E7229A" w:rsidP="00B74AEC">
      <w:pPr>
        <w:spacing w:after="0" w:line="240" w:lineRule="auto"/>
        <w:rPr>
          <w:rFonts w:ascii="Times New Roman" w:hAnsi="Times New Roman" w:cs="Times New Roman"/>
          <w:sz w:val="27"/>
          <w:szCs w:val="27"/>
        </w:rPr>
      </w:pPr>
      <w:r>
        <w:rPr>
          <w:rFonts w:ascii="Times New Roman" w:hAnsi="Times New Roman" w:cs="Times New Roman"/>
          <w:sz w:val="27"/>
          <w:szCs w:val="27"/>
        </w:rPr>
        <w:tab/>
      </w:r>
      <w:r w:rsidR="004A377B">
        <w:rPr>
          <w:rFonts w:ascii="Times New Roman" w:hAnsi="Times New Roman" w:cs="Times New Roman"/>
          <w:sz w:val="27"/>
          <w:szCs w:val="27"/>
        </w:rPr>
        <w:t>T</w:t>
      </w:r>
      <w:r w:rsidRPr="00B74AEC">
        <w:rPr>
          <w:rFonts w:ascii="Times New Roman" w:hAnsi="Times New Roman" w:cs="Times New Roman"/>
          <w:sz w:val="27"/>
          <w:szCs w:val="27"/>
        </w:rPr>
        <w:t xml:space="preserve">he Constitution establishes a procedure for the nomination and appointment of officers of the United States that includes important roles for both the President and the Senate.  The debates of our founding fathers, as well as Supreme Court opinions, explain that these provisions were intended to create important checks and balances on the branches of Government involved.  The </w:t>
      </w:r>
      <w:r w:rsidR="00A009E3">
        <w:rPr>
          <w:rFonts w:ascii="Times New Roman" w:hAnsi="Times New Roman" w:cs="Times New Roman"/>
          <w:sz w:val="27"/>
          <w:szCs w:val="27"/>
        </w:rPr>
        <w:t xml:space="preserve">Justice Department’s Office of Legal </w:t>
      </w:r>
      <w:proofErr w:type="gramStart"/>
      <w:r w:rsidR="00A009E3">
        <w:rPr>
          <w:rFonts w:ascii="Times New Roman" w:hAnsi="Times New Roman" w:cs="Times New Roman"/>
          <w:sz w:val="27"/>
          <w:szCs w:val="27"/>
        </w:rPr>
        <w:t xml:space="preserve">Counsel </w:t>
      </w:r>
      <w:r w:rsidRPr="00B74AEC">
        <w:rPr>
          <w:rFonts w:ascii="Times New Roman" w:hAnsi="Times New Roman" w:cs="Times New Roman"/>
          <w:sz w:val="27"/>
          <w:szCs w:val="27"/>
        </w:rPr>
        <w:t xml:space="preserve"> opinion</w:t>
      </w:r>
      <w:proofErr w:type="gramEnd"/>
      <w:r w:rsidRPr="00B74AEC">
        <w:rPr>
          <w:rFonts w:ascii="Times New Roman" w:hAnsi="Times New Roman" w:cs="Times New Roman"/>
          <w:sz w:val="27"/>
          <w:szCs w:val="27"/>
        </w:rPr>
        <w:t xml:space="preserve">, which purports to identify the legal basis of the recess appointments of four individuals to important Government positions this past January, asserts that the President has the unilateral ability to determine the existence of a “recess” for purposes of triggering the President’s recess appointment authority.  This conclusion would appear to undermine the balance of powers that is inherent in the Appointments Clause.  It would also appear to conflict with the constitutional right of the Senate to determine its own rules and procedures.  The use of a pro forma procedure during an intrasession recess of the Senate also raises the unresolved issue of whether any recess appointment can ever be made while the Senate is in such an intrasession adjournment, or instead does this authority only relate to intercessional periods.  While there is no definitive </w:t>
      </w:r>
      <w:r w:rsidR="00496BB3">
        <w:rPr>
          <w:rFonts w:ascii="Times New Roman" w:hAnsi="Times New Roman" w:cs="Times New Roman"/>
          <w:sz w:val="27"/>
          <w:szCs w:val="27"/>
        </w:rPr>
        <w:t xml:space="preserve">judicial </w:t>
      </w:r>
      <w:r w:rsidRPr="00B74AEC">
        <w:rPr>
          <w:rFonts w:ascii="Times New Roman" w:hAnsi="Times New Roman" w:cs="Times New Roman"/>
          <w:sz w:val="27"/>
          <w:szCs w:val="27"/>
        </w:rPr>
        <w:t xml:space="preserve">precedent as yet, a review of the constitutional debates, prior court rulings, and the history of recess appointments indicates that </w:t>
      </w:r>
      <w:r w:rsidR="00A009E3">
        <w:rPr>
          <w:rFonts w:ascii="Times New Roman" w:hAnsi="Times New Roman" w:cs="Times New Roman"/>
          <w:sz w:val="27"/>
          <w:szCs w:val="27"/>
        </w:rPr>
        <w:t xml:space="preserve">the </w:t>
      </w:r>
      <w:r w:rsidRPr="00B74AEC">
        <w:rPr>
          <w:rFonts w:ascii="Times New Roman" w:hAnsi="Times New Roman" w:cs="Times New Roman"/>
          <w:sz w:val="27"/>
          <w:szCs w:val="27"/>
        </w:rPr>
        <w:t>validity of the intrasession recess appointments at issue is questionable, and that compelling arguments may be made that they are invalid.</w:t>
      </w:r>
    </w:p>
    <w:p w:rsidR="00E7229A" w:rsidRDefault="00E7229A">
      <w:pPr>
        <w:spacing w:after="0" w:line="240" w:lineRule="auto"/>
        <w:rPr>
          <w:rFonts w:ascii="Times New Roman" w:hAnsi="Times New Roman" w:cs="Times New Roman"/>
          <w:sz w:val="24"/>
          <w:szCs w:val="24"/>
        </w:rPr>
      </w:pPr>
    </w:p>
    <w:p w:rsidR="00E7229A" w:rsidRPr="00DF0FC2" w:rsidRDefault="00E7229A" w:rsidP="00882D7D">
      <w:pPr>
        <w:spacing w:after="0" w:line="240" w:lineRule="auto"/>
        <w:rPr>
          <w:rFonts w:ascii="Times New Roman" w:hAnsi="Times New Roman" w:cs="Times New Roman"/>
          <w:b/>
          <w:bCs/>
          <w:sz w:val="48"/>
          <w:szCs w:val="48"/>
        </w:rPr>
      </w:pPr>
    </w:p>
    <w:p w:rsidR="00E7229A" w:rsidRPr="00DF0FC2" w:rsidRDefault="00E7229A" w:rsidP="00517265">
      <w:pPr>
        <w:spacing w:after="0" w:line="240" w:lineRule="auto"/>
        <w:jc w:val="center"/>
        <w:rPr>
          <w:rFonts w:ascii="Times New Roman" w:hAnsi="Times New Roman" w:cs="Times New Roman"/>
          <w:b/>
          <w:bCs/>
          <w:sz w:val="32"/>
          <w:szCs w:val="32"/>
        </w:rPr>
      </w:pPr>
    </w:p>
    <w:p w:rsidR="00E7229A" w:rsidRDefault="00E7229A" w:rsidP="00FC2C06">
      <w:pPr>
        <w:spacing w:after="0" w:line="240" w:lineRule="auto"/>
        <w:jc w:val="center"/>
        <w:rPr>
          <w:rFonts w:ascii="Times New Roman" w:hAnsi="Times New Roman" w:cs="Times New Roman"/>
          <w:sz w:val="28"/>
          <w:szCs w:val="28"/>
        </w:rPr>
        <w:sectPr w:rsidR="00E7229A" w:rsidSect="00712A47">
          <w:pgSz w:w="12240" w:h="15840"/>
          <w:pgMar w:top="1440" w:right="1440" w:bottom="1440" w:left="1440" w:header="720" w:footer="720" w:gutter="0"/>
          <w:pgNumType w:start="3"/>
          <w:cols w:space="720"/>
          <w:titlePg/>
          <w:docGrid w:linePitch="360"/>
        </w:sectPr>
      </w:pPr>
    </w:p>
    <w:p w:rsidR="00E7229A" w:rsidRPr="00B74AEC" w:rsidRDefault="00E7229A" w:rsidP="00FC2C06">
      <w:pPr>
        <w:spacing w:after="0" w:line="240" w:lineRule="auto"/>
        <w:jc w:val="center"/>
        <w:rPr>
          <w:rFonts w:ascii="Times New Roman" w:hAnsi="Times New Roman" w:cs="Times New Roman"/>
          <w:sz w:val="28"/>
          <w:szCs w:val="28"/>
        </w:rPr>
      </w:pPr>
      <w:r w:rsidRPr="00B74AEC">
        <w:rPr>
          <w:rFonts w:ascii="Times New Roman" w:hAnsi="Times New Roman" w:cs="Times New Roman"/>
          <w:sz w:val="28"/>
          <w:szCs w:val="28"/>
        </w:rPr>
        <w:lastRenderedPageBreak/>
        <w:t>Understanding the Centrality of the Appointments Clause as a Structural Safeguard of Our Scheme of Separated Powers: The Senate’s Exclusive and Plenary Confirmation Power Trumps Presidential Intrasession Recess Appointment</w:t>
      </w:r>
      <w:r w:rsidR="00E5759F">
        <w:rPr>
          <w:rFonts w:ascii="Times New Roman" w:hAnsi="Times New Roman" w:cs="Times New Roman"/>
          <w:sz w:val="28"/>
          <w:szCs w:val="28"/>
        </w:rPr>
        <w:t>s</w:t>
      </w:r>
      <w:r w:rsidR="00071807">
        <w:rPr>
          <w:rStyle w:val="FootnoteReference"/>
          <w:rFonts w:ascii="Times New Roman" w:hAnsi="Times New Roman" w:cs="Times New Roman"/>
          <w:sz w:val="28"/>
          <w:szCs w:val="28"/>
        </w:rPr>
        <w:footnoteReference w:id="1"/>
      </w:r>
      <w:r w:rsidR="00E5759F">
        <w:rPr>
          <w:rFonts w:ascii="Times New Roman" w:hAnsi="Times New Roman" w:cs="Times New Roman"/>
          <w:sz w:val="28"/>
          <w:szCs w:val="28"/>
        </w:rPr>
        <w:t xml:space="preserve"> </w:t>
      </w:r>
    </w:p>
    <w:p w:rsidR="00E7229A" w:rsidRPr="00B74AEC" w:rsidRDefault="00E7229A" w:rsidP="00517265">
      <w:pPr>
        <w:spacing w:after="0" w:line="240" w:lineRule="auto"/>
        <w:rPr>
          <w:rFonts w:ascii="Times New Roman" w:hAnsi="Times New Roman" w:cs="Times New Roman"/>
          <w:sz w:val="28"/>
          <w:szCs w:val="28"/>
        </w:rPr>
      </w:pPr>
    </w:p>
    <w:p w:rsidR="00E7229A" w:rsidRPr="00B74AEC" w:rsidRDefault="00E7229A" w:rsidP="00FC2C06">
      <w:pPr>
        <w:spacing w:after="0" w:line="240" w:lineRule="auto"/>
        <w:jc w:val="center"/>
        <w:rPr>
          <w:rFonts w:ascii="Times New Roman" w:hAnsi="Times New Roman" w:cs="Times New Roman"/>
          <w:sz w:val="28"/>
          <w:szCs w:val="28"/>
        </w:rPr>
      </w:pPr>
      <w:r w:rsidRPr="00B74AEC">
        <w:rPr>
          <w:rFonts w:ascii="Times New Roman" w:hAnsi="Times New Roman" w:cs="Times New Roman"/>
          <w:sz w:val="28"/>
          <w:szCs w:val="28"/>
        </w:rPr>
        <w:t>Morton Rosenberg</w:t>
      </w:r>
      <w:r w:rsidR="00AE6F30">
        <w:rPr>
          <w:rStyle w:val="FootnoteReference"/>
          <w:rFonts w:ascii="Times New Roman" w:hAnsi="Times New Roman" w:cs="Times New Roman"/>
          <w:sz w:val="28"/>
          <w:szCs w:val="28"/>
        </w:rPr>
        <w:footnoteReference w:id="2"/>
      </w:r>
    </w:p>
    <w:p w:rsidR="00E7229A" w:rsidRPr="00B74AEC" w:rsidRDefault="00E7229A" w:rsidP="00FC2C06">
      <w:pPr>
        <w:spacing w:after="0" w:line="240" w:lineRule="auto"/>
        <w:jc w:val="center"/>
        <w:rPr>
          <w:rFonts w:ascii="Times New Roman" w:hAnsi="Times New Roman" w:cs="Times New Roman"/>
          <w:sz w:val="28"/>
          <w:szCs w:val="28"/>
        </w:rPr>
      </w:pPr>
      <w:r w:rsidRPr="00B74AEC">
        <w:rPr>
          <w:rFonts w:ascii="Times New Roman" w:hAnsi="Times New Roman" w:cs="Times New Roman"/>
          <w:sz w:val="28"/>
          <w:szCs w:val="28"/>
        </w:rPr>
        <w:t>Constitution Project Fellow</w:t>
      </w:r>
      <w:r w:rsidRPr="00B74AEC">
        <w:rPr>
          <w:rStyle w:val="FootnoteReference"/>
          <w:rFonts w:ascii="Times New Roman" w:hAnsi="Times New Roman" w:cs="Times New Roman"/>
          <w:sz w:val="28"/>
          <w:szCs w:val="28"/>
        </w:rPr>
        <w:footnoteReference w:id="3"/>
      </w:r>
    </w:p>
    <w:p w:rsidR="00E7229A" w:rsidRPr="00DF0FC2" w:rsidRDefault="00E7229A" w:rsidP="00517265">
      <w:pPr>
        <w:spacing w:after="0" w:line="240" w:lineRule="auto"/>
        <w:jc w:val="center"/>
        <w:rPr>
          <w:rFonts w:ascii="Times New Roman" w:hAnsi="Times New Roman" w:cs="Times New Roman"/>
          <w:sz w:val="24"/>
          <w:szCs w:val="24"/>
        </w:rPr>
      </w:pPr>
      <w:r w:rsidRPr="00DF0FC2">
        <w:rPr>
          <w:rFonts w:ascii="Times New Roman" w:hAnsi="Times New Roman" w:cs="Times New Roman"/>
          <w:sz w:val="24"/>
          <w:szCs w:val="24"/>
        </w:rPr>
        <w:tab/>
      </w:r>
    </w:p>
    <w:p w:rsidR="00E7229A" w:rsidRPr="00DF0FC2" w:rsidRDefault="00E7229A" w:rsidP="00D067DB">
      <w:pPr>
        <w:spacing w:after="0" w:line="240" w:lineRule="auto"/>
        <w:rPr>
          <w:rFonts w:ascii="Times New Roman" w:hAnsi="Times New Roman" w:cs="Times New Roman"/>
          <w:sz w:val="24"/>
          <w:szCs w:val="24"/>
        </w:rPr>
      </w:pPr>
    </w:p>
    <w:p w:rsidR="00E7229A" w:rsidRPr="00FC2C06" w:rsidRDefault="00E7229A" w:rsidP="00ED17D1">
      <w:pPr>
        <w:spacing w:after="0" w:line="240" w:lineRule="auto"/>
        <w:rPr>
          <w:rFonts w:ascii="Times New Roman" w:hAnsi="Times New Roman" w:cs="Times New Roman"/>
          <w:sz w:val="26"/>
          <w:szCs w:val="26"/>
          <w:u w:val="single"/>
        </w:rPr>
      </w:pPr>
      <w:r w:rsidRPr="00FC2C06">
        <w:rPr>
          <w:rFonts w:ascii="Times New Roman" w:hAnsi="Times New Roman" w:cs="Times New Roman"/>
          <w:sz w:val="26"/>
          <w:szCs w:val="26"/>
        </w:rPr>
        <w:t>I.</w:t>
      </w:r>
      <w:r w:rsidRPr="00FC2C06">
        <w:rPr>
          <w:rFonts w:ascii="Times New Roman" w:hAnsi="Times New Roman" w:cs="Times New Roman"/>
          <w:sz w:val="26"/>
          <w:szCs w:val="26"/>
        </w:rPr>
        <w:tab/>
      </w:r>
      <w:r w:rsidRPr="00FC2C06">
        <w:rPr>
          <w:rFonts w:ascii="Times New Roman" w:hAnsi="Times New Roman" w:cs="Times New Roman"/>
          <w:sz w:val="26"/>
          <w:szCs w:val="26"/>
          <w:u w:val="single"/>
        </w:rPr>
        <w:t>Introduction</w:t>
      </w:r>
    </w:p>
    <w:p w:rsidR="00E7229A" w:rsidRPr="00FC2C06" w:rsidRDefault="00E7229A" w:rsidP="00D067DB">
      <w:pPr>
        <w:spacing w:after="0" w:line="240" w:lineRule="auto"/>
        <w:rPr>
          <w:rFonts w:ascii="Times New Roman" w:hAnsi="Times New Roman" w:cs="Times New Roman"/>
          <w:sz w:val="26"/>
          <w:szCs w:val="26"/>
        </w:rPr>
      </w:pPr>
    </w:p>
    <w:p w:rsidR="00C638C1" w:rsidRDefault="00E7229A">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Under the Constitution, the President has the “Power to fill up all Vacancies that may happen during the Recess of the Senate, by granting Commissions that shall expire at the End of their next Session” (Recess Clause).</w:t>
      </w:r>
      <w:r w:rsidRPr="00FC2C06">
        <w:rPr>
          <w:rStyle w:val="FootnoteReference"/>
          <w:rFonts w:ascii="Times New Roman" w:hAnsi="Times New Roman" w:cs="Times New Roman"/>
          <w:sz w:val="26"/>
          <w:szCs w:val="26"/>
        </w:rPr>
        <w:footnoteReference w:id="4"/>
      </w:r>
      <w:r w:rsidRPr="00FC2C06">
        <w:rPr>
          <w:rFonts w:ascii="Times New Roman" w:hAnsi="Times New Roman" w:cs="Times New Roman"/>
          <w:sz w:val="26"/>
          <w:szCs w:val="26"/>
        </w:rPr>
        <w:t xml:space="preserve">  On December 17, 2011, the Senate agreed by unanimous consent to “adjourn and convene for pro forma sessions only, with no business being conducted,” every Tuesday and Friday from that date until January 23, 2012.  During that period, on January 3, 2012, it convened a pro forma session to commence the second session of the 112</w:t>
      </w:r>
      <w:r w:rsidRPr="00FC2C06">
        <w:rPr>
          <w:rFonts w:ascii="Times New Roman" w:hAnsi="Times New Roman" w:cs="Times New Roman"/>
          <w:sz w:val="26"/>
          <w:szCs w:val="26"/>
          <w:vertAlign w:val="superscript"/>
        </w:rPr>
        <w:t>th</w:t>
      </w:r>
      <w:r w:rsidRPr="00FC2C06">
        <w:rPr>
          <w:rFonts w:ascii="Times New Roman" w:hAnsi="Times New Roman" w:cs="Times New Roman"/>
          <w:sz w:val="26"/>
          <w:szCs w:val="26"/>
        </w:rPr>
        <w:t xml:space="preserve"> Congress, as required by the Constitution, and adjourned within a minute.  </w:t>
      </w:r>
    </w:p>
    <w:p w:rsidR="00E7229A" w:rsidRPr="00FC2C06" w:rsidRDefault="00E7229A" w:rsidP="00FC2C06">
      <w:pPr>
        <w:spacing w:after="0" w:line="240" w:lineRule="auto"/>
        <w:jc w:val="both"/>
        <w:rPr>
          <w:rFonts w:ascii="Times New Roman" w:hAnsi="Times New Roman" w:cs="Times New Roman"/>
          <w:sz w:val="26"/>
          <w:szCs w:val="26"/>
        </w:rPr>
      </w:pPr>
    </w:p>
    <w:p w:rsidR="00E7229A" w:rsidRPr="00FC2C06" w:rsidRDefault="00E7229A" w:rsidP="00FC2C06">
      <w:pPr>
        <w:spacing w:after="0" w:line="240" w:lineRule="auto"/>
        <w:ind w:firstLine="720"/>
        <w:rPr>
          <w:rFonts w:ascii="Times New Roman" w:hAnsi="Times New Roman" w:cs="Times New Roman"/>
          <w:sz w:val="26"/>
          <w:szCs w:val="26"/>
        </w:rPr>
      </w:pPr>
      <w:r w:rsidRPr="00FC2C06">
        <w:rPr>
          <w:rFonts w:ascii="Times New Roman" w:hAnsi="Times New Roman" w:cs="Times New Roman"/>
          <w:sz w:val="26"/>
          <w:szCs w:val="26"/>
        </w:rPr>
        <w:t>On January 4, 2012, supported by a legal opinion of the Justice Department’s Office of Legal Counsel (OLC),</w:t>
      </w:r>
      <w:r w:rsidRPr="00FC2C06">
        <w:rPr>
          <w:rStyle w:val="FootnoteReference"/>
          <w:rFonts w:ascii="Times New Roman" w:hAnsi="Times New Roman" w:cs="Times New Roman"/>
          <w:sz w:val="26"/>
          <w:szCs w:val="26"/>
        </w:rPr>
        <w:footnoteReference w:id="5"/>
      </w:r>
      <w:r w:rsidRPr="00FC2C06">
        <w:rPr>
          <w:rFonts w:ascii="Times New Roman" w:hAnsi="Times New Roman" w:cs="Times New Roman"/>
          <w:sz w:val="26"/>
          <w:szCs w:val="26"/>
        </w:rPr>
        <w:t xml:space="preserve"> President Obama made recess appointments of Richard Cordray to be the first director of the Consumer Financial Protection Board (CFPB), and </w:t>
      </w:r>
      <w:r w:rsidR="000D0CCD">
        <w:rPr>
          <w:rFonts w:ascii="Times New Roman" w:hAnsi="Times New Roman" w:cs="Times New Roman"/>
          <w:sz w:val="26"/>
          <w:szCs w:val="26"/>
        </w:rPr>
        <w:t>of</w:t>
      </w:r>
      <w:r w:rsidRPr="00FC2C06">
        <w:rPr>
          <w:rFonts w:ascii="Times New Roman" w:hAnsi="Times New Roman" w:cs="Times New Roman"/>
          <w:sz w:val="26"/>
          <w:szCs w:val="26"/>
        </w:rPr>
        <w:t xml:space="preserve"> Sharon Block, Richard Griffin and Terry Flynn to be members of the National Labo</w:t>
      </w:r>
      <w:r>
        <w:rPr>
          <w:rFonts w:ascii="Times New Roman" w:hAnsi="Times New Roman" w:cs="Times New Roman"/>
          <w:sz w:val="26"/>
          <w:szCs w:val="26"/>
        </w:rPr>
        <w:t xml:space="preserve">r Relations Board (NLRB).  OLC </w:t>
      </w:r>
      <w:r w:rsidRPr="00FC2C06">
        <w:rPr>
          <w:rFonts w:ascii="Times New Roman" w:hAnsi="Times New Roman" w:cs="Times New Roman"/>
          <w:sz w:val="26"/>
          <w:szCs w:val="26"/>
        </w:rPr>
        <w:t xml:space="preserve">concluded that pro forma sessions in which no business is to be conducted did not have the legal effect of interrupting a 20 day intrasession recess which the </w:t>
      </w:r>
      <w:proofErr w:type="gramStart"/>
      <w:r w:rsidRPr="00FC2C06">
        <w:rPr>
          <w:rFonts w:ascii="Times New Roman" w:hAnsi="Times New Roman" w:cs="Times New Roman"/>
          <w:sz w:val="26"/>
          <w:szCs w:val="26"/>
        </w:rPr>
        <w:t>OLC  claimed</w:t>
      </w:r>
      <w:proofErr w:type="gramEnd"/>
      <w:r w:rsidRPr="00FC2C06">
        <w:rPr>
          <w:rFonts w:ascii="Times New Roman" w:hAnsi="Times New Roman" w:cs="Times New Roman"/>
          <w:sz w:val="26"/>
          <w:szCs w:val="26"/>
        </w:rPr>
        <w:t xml:space="preserve"> would qualify as a recess under the Recess Clause.</w:t>
      </w:r>
      <w:r w:rsidRPr="00FC2C06">
        <w:rPr>
          <w:rStyle w:val="FootnoteReference"/>
          <w:rFonts w:ascii="Times New Roman" w:hAnsi="Times New Roman" w:cs="Times New Roman"/>
          <w:sz w:val="26"/>
          <w:szCs w:val="26"/>
        </w:rPr>
        <w:footnoteReference w:id="6"/>
      </w:r>
      <w:r w:rsidRPr="00FC2C06">
        <w:rPr>
          <w:rFonts w:ascii="Times New Roman" w:hAnsi="Times New Roman" w:cs="Times New Roman"/>
          <w:sz w:val="26"/>
          <w:szCs w:val="26"/>
        </w:rPr>
        <w:t xml:space="preserve">  In a bold assertion of Executive power, the OLC opinion found that the President has the </w:t>
      </w:r>
      <w:r w:rsidRPr="00FC2C06">
        <w:rPr>
          <w:rFonts w:ascii="Times New Roman" w:hAnsi="Times New Roman" w:cs="Times New Roman"/>
          <w:i/>
          <w:iCs/>
          <w:sz w:val="26"/>
          <w:szCs w:val="26"/>
        </w:rPr>
        <w:t>unilateral</w:t>
      </w:r>
      <w:r w:rsidRPr="00FC2C06">
        <w:rPr>
          <w:rFonts w:ascii="Times New Roman" w:hAnsi="Times New Roman" w:cs="Times New Roman"/>
          <w:sz w:val="26"/>
          <w:szCs w:val="26"/>
        </w:rPr>
        <w:t xml:space="preserve"> discretion to determine that the Senate is </w:t>
      </w:r>
      <w:r w:rsidR="000D0CCD">
        <w:rPr>
          <w:rFonts w:ascii="Times New Roman" w:hAnsi="Times New Roman" w:cs="Times New Roman"/>
          <w:sz w:val="26"/>
          <w:szCs w:val="26"/>
        </w:rPr>
        <w:t>“</w:t>
      </w:r>
      <w:r w:rsidRPr="00FC2C06">
        <w:rPr>
          <w:rFonts w:ascii="Times New Roman" w:hAnsi="Times New Roman" w:cs="Times New Roman"/>
          <w:sz w:val="26"/>
          <w:szCs w:val="26"/>
        </w:rPr>
        <w:t>in recess” for</w:t>
      </w:r>
      <w:r w:rsidR="00A63EA7">
        <w:rPr>
          <w:rFonts w:ascii="Times New Roman" w:hAnsi="Times New Roman" w:cs="Times New Roman"/>
          <w:sz w:val="26"/>
          <w:szCs w:val="26"/>
        </w:rPr>
        <w:t xml:space="preserve"> the </w:t>
      </w:r>
      <w:r w:rsidRPr="00FC2C06">
        <w:rPr>
          <w:rFonts w:ascii="Times New Roman" w:hAnsi="Times New Roman" w:cs="Times New Roman"/>
          <w:sz w:val="26"/>
          <w:szCs w:val="26"/>
        </w:rPr>
        <w:t>purpose of permitting the President to avoid the requirement for Senate confirmation of nominations. The result of the appointments is to install the appointees in their respective offices for almost two years.</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lastRenderedPageBreak/>
        <w:tab/>
        <w:t>The effect of the presidential actions has been to ignite political and legal</w:t>
      </w:r>
      <w:r>
        <w:rPr>
          <w:rFonts w:ascii="Times New Roman" w:hAnsi="Times New Roman" w:cs="Times New Roman"/>
          <w:sz w:val="26"/>
          <w:szCs w:val="26"/>
        </w:rPr>
        <w:t xml:space="preserve"> firestorms </w:t>
      </w:r>
      <w:r w:rsidRPr="00FC2C06">
        <w:rPr>
          <w:rFonts w:ascii="Times New Roman" w:hAnsi="Times New Roman" w:cs="Times New Roman"/>
          <w:sz w:val="26"/>
          <w:szCs w:val="26"/>
        </w:rPr>
        <w:t>that are likely to exacerbate the current near paralysis of the Senate confirmation process</w:t>
      </w:r>
      <w:r w:rsidRPr="00FC2C06">
        <w:rPr>
          <w:rStyle w:val="FootnoteReference"/>
          <w:rFonts w:ascii="Times New Roman" w:hAnsi="Times New Roman" w:cs="Times New Roman"/>
          <w:sz w:val="26"/>
          <w:szCs w:val="26"/>
        </w:rPr>
        <w:footnoteReference w:id="7"/>
      </w:r>
      <w:r w:rsidRPr="00FC2C06">
        <w:rPr>
          <w:rFonts w:ascii="Times New Roman" w:hAnsi="Times New Roman" w:cs="Times New Roman"/>
          <w:sz w:val="26"/>
          <w:szCs w:val="26"/>
        </w:rPr>
        <w:t xml:space="preserve"> and force litigation of recess appointment issues that have been unresolved for over a century.</w:t>
      </w:r>
      <w:r w:rsidRPr="00FC2C06">
        <w:rPr>
          <w:rStyle w:val="FootnoteReference"/>
          <w:rFonts w:ascii="Times New Roman" w:hAnsi="Times New Roman" w:cs="Times New Roman"/>
          <w:sz w:val="26"/>
          <w:szCs w:val="26"/>
        </w:rPr>
        <w:footnoteReference w:id="8"/>
      </w:r>
      <w:r w:rsidRPr="00FC2C06">
        <w:rPr>
          <w:rFonts w:ascii="Times New Roman" w:hAnsi="Times New Roman" w:cs="Times New Roman"/>
          <w:sz w:val="26"/>
          <w:szCs w:val="26"/>
        </w:rPr>
        <w:t xml:space="preserve">  The reason for the present impasse in the appointment of these Executive Branch principal officers is not subtle</w:t>
      </w:r>
      <w:r w:rsidR="00677DCC">
        <w:rPr>
          <w:rFonts w:ascii="Times New Roman" w:hAnsi="Times New Roman" w:cs="Times New Roman"/>
          <w:sz w:val="26"/>
          <w:szCs w:val="26"/>
        </w:rPr>
        <w:t>.  T</w:t>
      </w:r>
      <w:r w:rsidRPr="00FC2C06">
        <w:rPr>
          <w:rFonts w:ascii="Times New Roman" w:hAnsi="Times New Roman" w:cs="Times New Roman"/>
          <w:sz w:val="26"/>
          <w:szCs w:val="26"/>
        </w:rPr>
        <w:t>he Republican Senate minority, with the support of the House Republican majority, has publically acknowledged that it is determined to use the leverage of stalling the confirmation of the first director of CFPB in order to prevent the new agency from exercising the full range of powers available to it under the Dodd–Frank Wall Street Reform and Consumer Protection Act of 2010 (DFA).</w:t>
      </w:r>
      <w:r w:rsidRPr="00FC2C06">
        <w:rPr>
          <w:rStyle w:val="FootnoteReference"/>
          <w:rFonts w:ascii="Times New Roman" w:hAnsi="Times New Roman" w:cs="Times New Roman"/>
          <w:sz w:val="26"/>
          <w:szCs w:val="26"/>
        </w:rPr>
        <w:footnoteReference w:id="9"/>
      </w:r>
      <w:r w:rsidRPr="00FC2C06">
        <w:rPr>
          <w:rFonts w:ascii="Times New Roman" w:hAnsi="Times New Roman" w:cs="Times New Roman"/>
          <w:sz w:val="26"/>
          <w:szCs w:val="26"/>
        </w:rPr>
        <w:t xml:space="preserve">  The apparent objective is to obtain an agreement with the Administration to revise the structure and funding independence of the Bureau.  Similarly, the </w:t>
      </w:r>
      <w:proofErr w:type="gramStart"/>
      <w:r w:rsidRPr="00FC2C06">
        <w:rPr>
          <w:rFonts w:ascii="Times New Roman" w:hAnsi="Times New Roman" w:cs="Times New Roman"/>
          <w:sz w:val="26"/>
          <w:szCs w:val="26"/>
        </w:rPr>
        <w:t xml:space="preserve">Senate  </w:t>
      </w:r>
      <w:r w:rsidR="0035693B">
        <w:rPr>
          <w:rFonts w:ascii="Times New Roman" w:hAnsi="Times New Roman" w:cs="Times New Roman"/>
          <w:sz w:val="26"/>
          <w:szCs w:val="26"/>
        </w:rPr>
        <w:t>Republicans</w:t>
      </w:r>
      <w:proofErr w:type="gramEnd"/>
      <w:r w:rsidR="0035693B">
        <w:rPr>
          <w:rFonts w:ascii="Times New Roman" w:hAnsi="Times New Roman" w:cs="Times New Roman"/>
          <w:sz w:val="26"/>
          <w:szCs w:val="26"/>
        </w:rPr>
        <w:t xml:space="preserve"> </w:t>
      </w:r>
      <w:r w:rsidRPr="00FC2C06">
        <w:rPr>
          <w:rFonts w:ascii="Times New Roman" w:hAnsi="Times New Roman" w:cs="Times New Roman"/>
          <w:sz w:val="26"/>
          <w:szCs w:val="26"/>
        </w:rPr>
        <w:t>seek to block the NLRB appointments</w:t>
      </w:r>
      <w:r>
        <w:rPr>
          <w:rFonts w:ascii="Times New Roman" w:hAnsi="Times New Roman" w:cs="Times New Roman"/>
          <w:sz w:val="26"/>
          <w:szCs w:val="26"/>
        </w:rPr>
        <w:t xml:space="preserve"> </w:t>
      </w:r>
      <w:r w:rsidRPr="00FC2C06">
        <w:rPr>
          <w:rFonts w:ascii="Times New Roman" w:hAnsi="Times New Roman" w:cs="Times New Roman"/>
          <w:sz w:val="26"/>
          <w:szCs w:val="26"/>
        </w:rPr>
        <w:t>in order to deprive the agency of a quorum necessary to promulgate what the Senate minority perceives as labor friendly rules.</w:t>
      </w:r>
      <w:r w:rsidRPr="00FC2C06">
        <w:rPr>
          <w:rStyle w:val="FootnoteReference"/>
          <w:rFonts w:ascii="Times New Roman" w:hAnsi="Times New Roman" w:cs="Times New Roman"/>
          <w:sz w:val="26"/>
          <w:szCs w:val="26"/>
        </w:rPr>
        <w:footnoteReference w:id="10"/>
      </w:r>
      <w:r w:rsidRPr="00FC2C06">
        <w:rPr>
          <w:rFonts w:ascii="Times New Roman" w:hAnsi="Times New Roman" w:cs="Times New Roman"/>
          <w:sz w:val="26"/>
          <w:szCs w:val="26"/>
        </w:rPr>
        <w:t xml:space="preserve">  Cordray’s nomination, which was made a full year after the establishment of the Bureau,</w:t>
      </w:r>
      <w:r w:rsidRPr="00FC2C06">
        <w:rPr>
          <w:rStyle w:val="FootnoteReference"/>
          <w:rFonts w:ascii="Times New Roman" w:hAnsi="Times New Roman" w:cs="Times New Roman"/>
          <w:sz w:val="26"/>
          <w:szCs w:val="26"/>
        </w:rPr>
        <w:footnoteReference w:id="11"/>
      </w:r>
      <w:r w:rsidRPr="00FC2C06">
        <w:rPr>
          <w:rFonts w:ascii="Times New Roman" w:hAnsi="Times New Roman" w:cs="Times New Roman"/>
          <w:sz w:val="26"/>
          <w:szCs w:val="26"/>
        </w:rPr>
        <w:t xml:space="preserve"> was reported favorably out of committee, but the threat of a filibuster, and the lack of 60 votes to enforce cloture</w:t>
      </w:r>
      <w:proofErr w:type="gramStart"/>
      <w:r w:rsidR="00496BB3">
        <w:rPr>
          <w:rFonts w:ascii="Times New Roman" w:hAnsi="Times New Roman" w:cs="Times New Roman"/>
          <w:sz w:val="26"/>
          <w:szCs w:val="26"/>
        </w:rPr>
        <w:t>,</w:t>
      </w:r>
      <w:r w:rsidR="00677DCC">
        <w:rPr>
          <w:rFonts w:ascii="Times New Roman" w:hAnsi="Times New Roman" w:cs="Times New Roman"/>
          <w:sz w:val="26"/>
          <w:szCs w:val="26"/>
        </w:rPr>
        <w:t xml:space="preserve"> </w:t>
      </w:r>
      <w:r w:rsidRPr="00FC2C06">
        <w:rPr>
          <w:rFonts w:ascii="Times New Roman" w:hAnsi="Times New Roman" w:cs="Times New Roman"/>
          <w:sz w:val="26"/>
          <w:szCs w:val="26"/>
        </w:rPr>
        <w:t xml:space="preserve"> prevented</w:t>
      </w:r>
      <w:proofErr w:type="gramEnd"/>
      <w:r w:rsidRPr="00FC2C06">
        <w:rPr>
          <w:rFonts w:ascii="Times New Roman" w:hAnsi="Times New Roman" w:cs="Times New Roman"/>
          <w:sz w:val="26"/>
          <w:szCs w:val="26"/>
        </w:rPr>
        <w:t xml:space="preserve"> a floor vote.  Two of the three NLRB appointees, Block and Griffin, were nominated on December 15, 2011, two days before the adjournment, and thus have not been vetted </w:t>
      </w:r>
      <w:r w:rsidR="00677DCC">
        <w:rPr>
          <w:rFonts w:ascii="Times New Roman" w:hAnsi="Times New Roman" w:cs="Times New Roman"/>
          <w:sz w:val="26"/>
          <w:szCs w:val="26"/>
        </w:rPr>
        <w:t>n</w:t>
      </w:r>
      <w:r w:rsidRPr="00FC2C06">
        <w:rPr>
          <w:rFonts w:ascii="Times New Roman" w:hAnsi="Times New Roman" w:cs="Times New Roman"/>
          <w:sz w:val="26"/>
          <w:szCs w:val="26"/>
        </w:rPr>
        <w:t xml:space="preserve">or </w:t>
      </w:r>
      <w:r w:rsidR="00677DCC">
        <w:rPr>
          <w:rFonts w:ascii="Times New Roman" w:hAnsi="Times New Roman" w:cs="Times New Roman"/>
          <w:sz w:val="26"/>
          <w:szCs w:val="26"/>
        </w:rPr>
        <w:t>the subject of a congressional</w:t>
      </w:r>
      <w:r w:rsidRPr="00FC2C06">
        <w:rPr>
          <w:rFonts w:ascii="Times New Roman" w:hAnsi="Times New Roman" w:cs="Times New Roman"/>
          <w:sz w:val="26"/>
          <w:szCs w:val="26"/>
        </w:rPr>
        <w:t xml:space="preserve"> hearing. </w:t>
      </w:r>
    </w:p>
    <w:p w:rsidR="00E7229A" w:rsidRPr="00FC2C06" w:rsidRDefault="00E7229A" w:rsidP="00D067DB">
      <w:pPr>
        <w:spacing w:after="0" w:line="240" w:lineRule="auto"/>
        <w:rPr>
          <w:rFonts w:ascii="Times New Roman" w:hAnsi="Times New Roman" w:cs="Times New Roman"/>
          <w:sz w:val="26"/>
          <w:szCs w:val="26"/>
        </w:rPr>
      </w:pPr>
    </w:p>
    <w:p w:rsidR="00102824"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As will be more fully elaborated below, t</w:t>
      </w:r>
      <w:r>
        <w:rPr>
          <w:rFonts w:ascii="Times New Roman" w:hAnsi="Times New Roman" w:cs="Times New Roman"/>
          <w:sz w:val="26"/>
          <w:szCs w:val="26"/>
        </w:rPr>
        <w:t xml:space="preserve">his paper concludes that OLC’s </w:t>
      </w:r>
      <w:r w:rsidRPr="00FC2C06">
        <w:rPr>
          <w:rFonts w:ascii="Times New Roman" w:hAnsi="Times New Roman" w:cs="Times New Roman"/>
          <w:sz w:val="26"/>
          <w:szCs w:val="26"/>
        </w:rPr>
        <w:t>assertion that the President has unilateral discretionary authority to determine whether the Senate is in recess for p</w:t>
      </w:r>
      <w:r>
        <w:rPr>
          <w:rFonts w:ascii="Times New Roman" w:hAnsi="Times New Roman" w:cs="Times New Roman"/>
          <w:sz w:val="26"/>
          <w:szCs w:val="26"/>
        </w:rPr>
        <w:t xml:space="preserve">urposes of the </w:t>
      </w:r>
      <w:r w:rsidRPr="00FC2C06">
        <w:rPr>
          <w:rFonts w:ascii="Times New Roman" w:hAnsi="Times New Roman" w:cs="Times New Roman"/>
          <w:sz w:val="26"/>
          <w:szCs w:val="26"/>
        </w:rPr>
        <w:t xml:space="preserve">Recess Clause is constitutionally flawed.  This conclusion is based on a thorough review of all relevant precedents, the historic use of the </w:t>
      </w:r>
      <w:r w:rsidR="00496BB3">
        <w:rPr>
          <w:rFonts w:ascii="Times New Roman" w:hAnsi="Times New Roman" w:cs="Times New Roman"/>
          <w:sz w:val="26"/>
          <w:szCs w:val="26"/>
        </w:rPr>
        <w:t>r</w:t>
      </w:r>
      <w:r w:rsidRPr="00FC2C06">
        <w:rPr>
          <w:rFonts w:ascii="Times New Roman" w:hAnsi="Times New Roman" w:cs="Times New Roman"/>
          <w:sz w:val="26"/>
          <w:szCs w:val="26"/>
        </w:rPr>
        <w:t xml:space="preserve">ecess </w:t>
      </w:r>
      <w:r w:rsidR="00496BB3">
        <w:rPr>
          <w:rFonts w:ascii="Times New Roman" w:hAnsi="Times New Roman" w:cs="Times New Roman"/>
          <w:sz w:val="26"/>
          <w:szCs w:val="26"/>
        </w:rPr>
        <w:t>a</w:t>
      </w:r>
      <w:r w:rsidRPr="00FC2C06">
        <w:rPr>
          <w:rFonts w:ascii="Times New Roman" w:hAnsi="Times New Roman" w:cs="Times New Roman"/>
          <w:sz w:val="26"/>
          <w:szCs w:val="26"/>
        </w:rPr>
        <w:t>ppointments power, the plain language used in the Constitution and its formative history, and the basic principles of separation of powers that are central to the operation of our Government and the protection of abuse by any one branch.</w:t>
      </w:r>
      <w:r w:rsidR="00102824">
        <w:rPr>
          <w:rFonts w:ascii="Times New Roman" w:hAnsi="Times New Roman" w:cs="Times New Roman"/>
          <w:sz w:val="26"/>
          <w:szCs w:val="26"/>
        </w:rPr>
        <w:t xml:space="preserve"> </w:t>
      </w:r>
    </w:p>
    <w:p w:rsidR="00102824" w:rsidRDefault="00102824" w:rsidP="00D067DB">
      <w:pPr>
        <w:spacing w:after="0" w:line="240" w:lineRule="auto"/>
        <w:rPr>
          <w:rFonts w:ascii="Times New Roman" w:hAnsi="Times New Roman" w:cs="Times New Roman"/>
          <w:sz w:val="26"/>
          <w:szCs w:val="26"/>
        </w:rPr>
      </w:pPr>
    </w:p>
    <w:p w:rsidR="00102824" w:rsidRDefault="00102824" w:rsidP="00D067DB">
      <w:pPr>
        <w:spacing w:after="0" w:line="240" w:lineRule="auto"/>
        <w:rPr>
          <w:rFonts w:ascii="Times New Roman" w:hAnsi="Times New Roman" w:cs="Times New Roman"/>
          <w:sz w:val="26"/>
          <w:szCs w:val="26"/>
        </w:rPr>
      </w:pPr>
    </w:p>
    <w:p w:rsidR="00102824" w:rsidRPr="00FC2C06" w:rsidRDefault="00102824"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II.</w:t>
      </w:r>
      <w:r w:rsidRPr="00FC2C06">
        <w:rPr>
          <w:rFonts w:ascii="Times New Roman" w:hAnsi="Times New Roman" w:cs="Times New Roman"/>
          <w:sz w:val="26"/>
          <w:szCs w:val="26"/>
        </w:rPr>
        <w:tab/>
      </w:r>
      <w:r w:rsidRPr="00FC2C06">
        <w:rPr>
          <w:rFonts w:ascii="Times New Roman" w:hAnsi="Times New Roman" w:cs="Times New Roman"/>
          <w:sz w:val="26"/>
          <w:szCs w:val="26"/>
          <w:u w:val="single"/>
        </w:rPr>
        <w:t xml:space="preserve"> The Senate’s Role in the Confirmation Process is Exclusive and Plenary</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376368">
      <w:pPr>
        <w:pStyle w:val="ListParagraph"/>
        <w:numPr>
          <w:ilvl w:val="0"/>
          <w:numId w:val="12"/>
        </w:numPr>
        <w:spacing w:after="0" w:line="240" w:lineRule="auto"/>
        <w:rPr>
          <w:rFonts w:ascii="Times New Roman" w:hAnsi="Times New Roman" w:cs="Times New Roman"/>
          <w:sz w:val="26"/>
          <w:szCs w:val="26"/>
          <w:u w:val="single"/>
        </w:rPr>
      </w:pPr>
      <w:r w:rsidRPr="00FC2C06">
        <w:rPr>
          <w:rFonts w:ascii="Times New Roman" w:hAnsi="Times New Roman" w:cs="Times New Roman"/>
          <w:sz w:val="26"/>
          <w:szCs w:val="26"/>
          <w:u w:val="single"/>
        </w:rPr>
        <w:t xml:space="preserve">The Framers Designed a </w:t>
      </w:r>
      <w:proofErr w:type="gramStart"/>
      <w:r w:rsidRPr="00FC2C06">
        <w:rPr>
          <w:rFonts w:ascii="Times New Roman" w:hAnsi="Times New Roman" w:cs="Times New Roman"/>
          <w:sz w:val="26"/>
          <w:szCs w:val="26"/>
          <w:u w:val="single"/>
        </w:rPr>
        <w:t>General  Appointments</w:t>
      </w:r>
      <w:proofErr w:type="gramEnd"/>
      <w:r w:rsidRPr="00FC2C06">
        <w:rPr>
          <w:rFonts w:ascii="Times New Roman" w:hAnsi="Times New Roman" w:cs="Times New Roman"/>
          <w:sz w:val="26"/>
          <w:szCs w:val="26"/>
          <w:u w:val="single"/>
        </w:rPr>
        <w:t xml:space="preserve"> Scheme Bounded by Strict Checks and Balances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OLC opinion assiduously avoids any mention or discussion of the Appointments Clause itself or the Framers</w:t>
      </w:r>
      <w:r w:rsidR="00121AB6">
        <w:rPr>
          <w:rFonts w:ascii="Times New Roman" w:hAnsi="Times New Roman" w:cs="Times New Roman"/>
          <w:sz w:val="26"/>
          <w:szCs w:val="26"/>
        </w:rPr>
        <w:t>’</w:t>
      </w:r>
      <w:r w:rsidRPr="00FC2C06">
        <w:rPr>
          <w:rFonts w:ascii="Times New Roman" w:hAnsi="Times New Roman" w:cs="Times New Roman"/>
          <w:sz w:val="26"/>
          <w:szCs w:val="26"/>
        </w:rPr>
        <w:t xml:space="preserve"> debates over the general power of appointment. Those debates were heated, contentious and revelatory of their awareness of the importance of how and where to vest control over the appointing power. The </w:t>
      </w:r>
      <w:proofErr w:type="gramStart"/>
      <w:r w:rsidRPr="00FC2C06">
        <w:rPr>
          <w:rFonts w:ascii="Times New Roman" w:hAnsi="Times New Roman" w:cs="Times New Roman"/>
          <w:sz w:val="26"/>
          <w:szCs w:val="26"/>
        </w:rPr>
        <w:t>Rec</w:t>
      </w:r>
      <w:r>
        <w:rPr>
          <w:rFonts w:ascii="Times New Roman" w:hAnsi="Times New Roman" w:cs="Times New Roman"/>
          <w:sz w:val="26"/>
          <w:szCs w:val="26"/>
        </w:rPr>
        <w:t xml:space="preserve">ess Clause, on the other hand, </w:t>
      </w:r>
      <w:r w:rsidRPr="00FC2C06">
        <w:rPr>
          <w:rFonts w:ascii="Times New Roman" w:hAnsi="Times New Roman" w:cs="Times New Roman"/>
          <w:sz w:val="26"/>
          <w:szCs w:val="26"/>
        </w:rPr>
        <w:t>was adopted by the Constitutional Convention without any debate</w:t>
      </w:r>
      <w:proofErr w:type="gramEnd"/>
      <w:r w:rsidRPr="00FC2C06">
        <w:rPr>
          <w:rFonts w:ascii="Times New Roman" w:hAnsi="Times New Roman" w:cs="Times New Roman"/>
          <w:sz w:val="26"/>
          <w:szCs w:val="26"/>
        </w:rPr>
        <w:t>.   In light of the substantial Convention discussion of the appointment power, the lack of any debate on the Recess Clause suggests that the Framers thought that Clause would not affect the meticulously developed scheme of checks and balances of the Appointments Clause, which requires action by both the President and the Senate to effect an appointment.</w:t>
      </w:r>
      <w:r w:rsidRPr="00FC2C06">
        <w:rPr>
          <w:rStyle w:val="FootnoteReference"/>
          <w:rFonts w:ascii="Times New Roman" w:hAnsi="Times New Roman" w:cs="Times New Roman"/>
          <w:sz w:val="26"/>
          <w:szCs w:val="26"/>
        </w:rPr>
        <w:footnoteReference w:id="12"/>
      </w:r>
      <w:r w:rsidRPr="00FC2C06">
        <w:rPr>
          <w:rFonts w:ascii="Times New Roman" w:hAnsi="Times New Roman" w:cs="Times New Roman"/>
          <w:sz w:val="26"/>
          <w:szCs w:val="26"/>
        </w:rPr>
        <w:t xml:space="preserve">  </w:t>
      </w:r>
      <w:proofErr w:type="gramStart"/>
      <w:r w:rsidRPr="00FC2C06">
        <w:rPr>
          <w:rFonts w:ascii="Times New Roman" w:hAnsi="Times New Roman" w:cs="Times New Roman"/>
          <w:sz w:val="26"/>
          <w:szCs w:val="26"/>
        </w:rPr>
        <w:t>This view is corroborated by the s</w:t>
      </w:r>
      <w:r>
        <w:rPr>
          <w:rFonts w:ascii="Times New Roman" w:hAnsi="Times New Roman" w:cs="Times New Roman"/>
          <w:sz w:val="26"/>
          <w:szCs w:val="26"/>
        </w:rPr>
        <w:t xml:space="preserve">tatement of Alexander Hamilton </w:t>
      </w:r>
      <w:r w:rsidRPr="00FC2C06">
        <w:rPr>
          <w:rFonts w:ascii="Times New Roman" w:hAnsi="Times New Roman" w:cs="Times New Roman"/>
          <w:sz w:val="26"/>
          <w:szCs w:val="26"/>
        </w:rPr>
        <w:t>in his Federalist Paper No. 67</w:t>
      </w:r>
      <w:proofErr w:type="gramEnd"/>
      <w:r w:rsidRPr="00FC2C06">
        <w:rPr>
          <w:rFonts w:ascii="Times New Roman" w:hAnsi="Times New Roman" w:cs="Times New Roman"/>
          <w:sz w:val="26"/>
          <w:szCs w:val="26"/>
        </w:rPr>
        <w:t>, where he deemed the Recess Clause to be “auxiliary” and “supplementary” in nature.</w:t>
      </w:r>
      <w:r w:rsidRPr="00FC2C06">
        <w:rPr>
          <w:rStyle w:val="FootnoteReference"/>
          <w:rFonts w:ascii="Times New Roman" w:hAnsi="Times New Roman" w:cs="Times New Roman"/>
          <w:sz w:val="26"/>
          <w:szCs w:val="26"/>
        </w:rPr>
        <w:footnoteReference w:id="13"/>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Convention debates on the appointments authority, on the other hand, shed much light on the intended limited scope of the Recess Clause. The debate records clearly show that the delegates voiced great distrust of the </w:t>
      </w:r>
      <w:r w:rsidR="00121AB6">
        <w:rPr>
          <w:rFonts w:ascii="Times New Roman" w:hAnsi="Times New Roman" w:cs="Times New Roman"/>
          <w:sz w:val="26"/>
          <w:szCs w:val="26"/>
        </w:rPr>
        <w:t>E</w:t>
      </w:r>
      <w:r w:rsidRPr="00FC2C06">
        <w:rPr>
          <w:rFonts w:ascii="Times New Roman" w:hAnsi="Times New Roman" w:cs="Times New Roman"/>
          <w:sz w:val="26"/>
          <w:szCs w:val="26"/>
        </w:rPr>
        <w:t xml:space="preserve">xecutive and expressed the need for checks and balances to counteract the power of the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Over the course of the considerations, the delegates rejected attempts to vest appointment power solely in either </w:t>
      </w:r>
      <w:r w:rsidR="007D131F">
        <w:rPr>
          <w:rFonts w:ascii="Times New Roman" w:hAnsi="Times New Roman" w:cs="Times New Roman"/>
          <w:sz w:val="26"/>
          <w:szCs w:val="26"/>
        </w:rPr>
        <w:t>the</w:t>
      </w:r>
      <w:r w:rsidRPr="00FC2C06">
        <w:rPr>
          <w:rFonts w:ascii="Times New Roman" w:hAnsi="Times New Roman" w:cs="Times New Roman"/>
          <w:sz w:val="26"/>
          <w:szCs w:val="26"/>
        </w:rPr>
        <w:t xml:space="preserve">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or the legislature.  In the end a compromise was reached that required the input of both branches so as to achieve the goals of responsibility and accountability.</w:t>
      </w:r>
      <w:r w:rsidRPr="00FC2C06">
        <w:rPr>
          <w:rStyle w:val="FootnoteReference"/>
          <w:rFonts w:ascii="Times New Roman" w:hAnsi="Times New Roman" w:cs="Times New Roman"/>
          <w:sz w:val="26"/>
          <w:szCs w:val="26"/>
        </w:rPr>
        <w:footnoteReference w:id="14"/>
      </w:r>
      <w:r w:rsidRPr="00FC2C06">
        <w:rPr>
          <w:rFonts w:ascii="Times New Roman" w:hAnsi="Times New Roman" w:cs="Times New Roman"/>
          <w:sz w:val="26"/>
          <w:szCs w:val="26"/>
        </w:rPr>
        <w:t xml:space="preserve"> </w:t>
      </w:r>
    </w:p>
    <w:p w:rsidR="00E7229A" w:rsidRPr="00FC2C06" w:rsidRDefault="00E7229A" w:rsidP="00030211">
      <w:pPr>
        <w:spacing w:after="0" w:line="240" w:lineRule="auto"/>
        <w:rPr>
          <w:rFonts w:ascii="Times New Roman" w:hAnsi="Times New Roman" w:cs="Times New Roman"/>
          <w:sz w:val="26"/>
          <w:szCs w:val="26"/>
        </w:rPr>
      </w:pP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initial draft constitution presented at Philadelphia</w:t>
      </w:r>
      <w:r>
        <w:rPr>
          <w:rFonts w:ascii="Times New Roman" w:hAnsi="Times New Roman" w:cs="Times New Roman"/>
          <w:sz w:val="26"/>
          <w:szCs w:val="26"/>
        </w:rPr>
        <w:t xml:space="preserve"> </w:t>
      </w:r>
      <w:r w:rsidRPr="00FC2C06">
        <w:rPr>
          <w:rFonts w:ascii="Times New Roman" w:hAnsi="Times New Roman" w:cs="Times New Roman"/>
          <w:sz w:val="26"/>
          <w:szCs w:val="26"/>
        </w:rPr>
        <w:t xml:space="preserve">(the Virginia Plan) lodged in Congress the responsibility for choosing both the </w:t>
      </w:r>
      <w:r w:rsidR="00121AB6">
        <w:rPr>
          <w:rFonts w:ascii="Times New Roman" w:hAnsi="Times New Roman" w:cs="Times New Roman"/>
          <w:sz w:val="26"/>
          <w:szCs w:val="26"/>
        </w:rPr>
        <w:t>E</w:t>
      </w:r>
      <w:r w:rsidRPr="00FC2C06">
        <w:rPr>
          <w:rFonts w:ascii="Times New Roman" w:hAnsi="Times New Roman" w:cs="Times New Roman"/>
          <w:sz w:val="26"/>
          <w:szCs w:val="26"/>
        </w:rPr>
        <w:t xml:space="preserve">xecutive and members of the national judiciary. The </w:t>
      </w:r>
      <w:r w:rsidR="00121AB6">
        <w:rPr>
          <w:rFonts w:ascii="Times New Roman" w:hAnsi="Times New Roman" w:cs="Times New Roman"/>
          <w:sz w:val="26"/>
          <w:szCs w:val="26"/>
        </w:rPr>
        <w:t>Executive</w:t>
      </w:r>
      <w:r w:rsidRPr="00FC2C06">
        <w:rPr>
          <w:rFonts w:ascii="Times New Roman" w:hAnsi="Times New Roman" w:cs="Times New Roman"/>
          <w:sz w:val="26"/>
          <w:szCs w:val="26"/>
        </w:rPr>
        <w:t xml:space="preserve"> would have been empowered “to appoint to offices in cases not provide</w:t>
      </w:r>
      <w:r>
        <w:rPr>
          <w:rFonts w:ascii="Times New Roman" w:hAnsi="Times New Roman" w:cs="Times New Roman"/>
          <w:sz w:val="26"/>
          <w:szCs w:val="26"/>
        </w:rPr>
        <w:t>d for</w:t>
      </w:r>
      <w:r w:rsidR="00455C95">
        <w:rPr>
          <w:rFonts w:ascii="Times New Roman" w:hAnsi="Times New Roman" w:cs="Times New Roman"/>
          <w:sz w:val="26"/>
          <w:szCs w:val="26"/>
        </w:rPr>
        <w:t xml:space="preserve">” </w:t>
      </w:r>
      <w:r w:rsidRPr="00FC2C06">
        <w:rPr>
          <w:rFonts w:ascii="Times New Roman" w:hAnsi="Times New Roman" w:cs="Times New Roman"/>
          <w:sz w:val="26"/>
          <w:szCs w:val="26"/>
        </w:rPr>
        <w:t>by the Constitution. James Wilson objecte</w:t>
      </w:r>
      <w:r>
        <w:rPr>
          <w:rFonts w:ascii="Times New Roman" w:hAnsi="Times New Roman" w:cs="Times New Roman"/>
          <w:sz w:val="26"/>
          <w:szCs w:val="26"/>
        </w:rPr>
        <w:t xml:space="preserve">d to the appointment of judges </w:t>
      </w:r>
      <w:r w:rsidRPr="00FC2C06">
        <w:rPr>
          <w:rFonts w:ascii="Times New Roman" w:hAnsi="Times New Roman" w:cs="Times New Roman"/>
          <w:sz w:val="26"/>
          <w:szCs w:val="26"/>
        </w:rPr>
        <w:t xml:space="preserve">by a legislature: “Experience shewed the impropriety of such appointments, by numerous bodies. Intrigue, partiality, and concealment were the necessary consequences. A principal reason for unity in the Executive was that officers might be appointed by a single, responsible person.” Other delegates feared that vesting such power in a single </w:t>
      </w:r>
      <w:r w:rsidRPr="00FC2C06">
        <w:rPr>
          <w:rFonts w:ascii="Times New Roman" w:hAnsi="Times New Roman" w:cs="Times New Roman"/>
          <w:sz w:val="26"/>
          <w:szCs w:val="26"/>
        </w:rPr>
        <w:lastRenderedPageBreak/>
        <w:t xml:space="preserve">person would be </w:t>
      </w:r>
      <w:r w:rsidR="00E645E0">
        <w:rPr>
          <w:rFonts w:ascii="Times New Roman" w:hAnsi="Times New Roman" w:cs="Times New Roman"/>
          <w:sz w:val="26"/>
          <w:szCs w:val="26"/>
        </w:rPr>
        <w:t>“</w:t>
      </w:r>
      <w:r w:rsidRPr="00FC2C06">
        <w:rPr>
          <w:rFonts w:ascii="Times New Roman" w:hAnsi="Times New Roman" w:cs="Times New Roman"/>
          <w:sz w:val="26"/>
          <w:szCs w:val="26"/>
        </w:rPr>
        <w:t>leaning too much toward Monarchy.</w:t>
      </w:r>
      <w:r w:rsidR="00E645E0">
        <w:rPr>
          <w:rFonts w:ascii="Times New Roman" w:hAnsi="Times New Roman" w:cs="Times New Roman"/>
          <w:sz w:val="26"/>
          <w:szCs w:val="26"/>
        </w:rPr>
        <w:t>”</w:t>
      </w:r>
      <w:r w:rsidRPr="00FC2C06">
        <w:rPr>
          <w:rStyle w:val="FootnoteReference"/>
          <w:rFonts w:ascii="Times New Roman" w:hAnsi="Times New Roman" w:cs="Times New Roman"/>
          <w:sz w:val="26"/>
          <w:szCs w:val="26"/>
        </w:rPr>
        <w:footnoteReference w:id="15"/>
      </w:r>
      <w:r w:rsidRPr="00FC2C06">
        <w:rPr>
          <w:rFonts w:ascii="Times New Roman" w:hAnsi="Times New Roman" w:cs="Times New Roman"/>
          <w:sz w:val="26"/>
          <w:szCs w:val="26"/>
        </w:rPr>
        <w:t xml:space="preserve">  A later, interim version of the draft constitution vested in the Senate the authority to appoint ambassadors, public ministers and judges of the Supreme Court, while empowering a now independent President to appoint all other officers not provided for in the constitution.</w:t>
      </w:r>
      <w:r w:rsidRPr="00FC2C06">
        <w:rPr>
          <w:rStyle w:val="FootnoteReference"/>
          <w:rFonts w:ascii="Times New Roman" w:hAnsi="Times New Roman" w:cs="Times New Roman"/>
          <w:sz w:val="26"/>
          <w:szCs w:val="26"/>
        </w:rPr>
        <w:footnoteReference w:id="16"/>
      </w:r>
      <w:r w:rsidRPr="00FC2C06">
        <w:rPr>
          <w:rFonts w:ascii="Times New Roman" w:hAnsi="Times New Roman" w:cs="Times New Roman"/>
          <w:sz w:val="26"/>
          <w:szCs w:val="26"/>
        </w:rPr>
        <w:t xml:space="preserve"> Roger Sherman objected to the draft language contending that it conferred too much power on the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and enabled him “to set up an Absolute Government.”</w:t>
      </w:r>
      <w:r w:rsidRPr="00FC2C06">
        <w:rPr>
          <w:rStyle w:val="FootnoteReference"/>
          <w:rFonts w:ascii="Times New Roman" w:hAnsi="Times New Roman" w:cs="Times New Roman"/>
          <w:sz w:val="26"/>
          <w:szCs w:val="26"/>
        </w:rPr>
        <w:footnoteReference w:id="17"/>
      </w:r>
    </w:p>
    <w:p w:rsidR="00E7229A" w:rsidRPr="00FC2C06" w:rsidRDefault="00E7229A" w:rsidP="00030211">
      <w:pPr>
        <w:spacing w:after="0" w:line="240" w:lineRule="auto"/>
        <w:rPr>
          <w:rFonts w:ascii="Times New Roman" w:hAnsi="Times New Roman" w:cs="Times New Roman"/>
          <w:sz w:val="26"/>
          <w:szCs w:val="26"/>
        </w:rPr>
      </w:pP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When the Committee on Detail reported back to the Convention the language that became the App</w:t>
      </w:r>
      <w:r>
        <w:rPr>
          <w:rFonts w:ascii="Times New Roman" w:hAnsi="Times New Roman" w:cs="Times New Roman"/>
          <w:sz w:val="26"/>
          <w:szCs w:val="26"/>
        </w:rPr>
        <w:t xml:space="preserve">ointments Clause, it reflected </w:t>
      </w:r>
      <w:r w:rsidRPr="00FC2C06">
        <w:rPr>
          <w:rFonts w:ascii="Times New Roman" w:hAnsi="Times New Roman" w:cs="Times New Roman"/>
          <w:sz w:val="26"/>
          <w:szCs w:val="26"/>
        </w:rPr>
        <w:t>major compromises: the Senate was shorn of its power to appoint ambassadors and Supreme Court justices; the President could nominate, but not appoint, all the principal officers of the United States; and the Senate would confirm his nominees. Responding to objections against this blending of the appointing power, Gouverneur Morris explained that the benefit of the shared authority was “that as the President was to nominate, there would be responsibility, and as the Senate was to concur, there would be security</w:t>
      </w:r>
      <w:r w:rsidR="009D3CD6">
        <w:rPr>
          <w:rFonts w:ascii="Times New Roman" w:hAnsi="Times New Roman" w:cs="Times New Roman"/>
          <w:sz w:val="26"/>
          <w:szCs w:val="26"/>
        </w:rPr>
        <w:t>.</w:t>
      </w:r>
      <w:r w:rsidRPr="00FC2C06">
        <w:rPr>
          <w:rFonts w:ascii="Times New Roman" w:hAnsi="Times New Roman" w:cs="Times New Roman"/>
          <w:sz w:val="26"/>
          <w:szCs w:val="26"/>
        </w:rPr>
        <w:t>”</w:t>
      </w:r>
      <w:r w:rsidRPr="00FC2C06">
        <w:rPr>
          <w:rStyle w:val="FootnoteReference"/>
          <w:rFonts w:ascii="Times New Roman" w:hAnsi="Times New Roman" w:cs="Times New Roman"/>
          <w:sz w:val="26"/>
          <w:szCs w:val="26"/>
        </w:rPr>
        <w:footnoteReference w:id="18"/>
      </w:r>
      <w:r w:rsidRPr="00FC2C06">
        <w:rPr>
          <w:rFonts w:ascii="Times New Roman" w:hAnsi="Times New Roman" w:cs="Times New Roman"/>
          <w:sz w:val="26"/>
          <w:szCs w:val="26"/>
        </w:rPr>
        <w:t xml:space="preserve"> The delegates approved the proposed compromise.</w:t>
      </w:r>
      <w:r w:rsidRPr="00FC2C06">
        <w:rPr>
          <w:rStyle w:val="FootnoteReference"/>
          <w:rFonts w:ascii="Times New Roman" w:hAnsi="Times New Roman" w:cs="Times New Roman"/>
          <w:sz w:val="26"/>
          <w:szCs w:val="26"/>
        </w:rPr>
        <w:footnoteReference w:id="19"/>
      </w:r>
      <w:r w:rsidRPr="00FC2C06">
        <w:rPr>
          <w:rFonts w:ascii="Times New Roman" w:hAnsi="Times New Roman" w:cs="Times New Roman"/>
          <w:sz w:val="26"/>
          <w:szCs w:val="26"/>
        </w:rPr>
        <w:t xml:space="preserve"> The Convention then agreed, without discussion or opposition, to the Recess Clause.</w:t>
      </w:r>
      <w:r w:rsidRPr="00FC2C06">
        <w:rPr>
          <w:rStyle w:val="FootnoteReference"/>
          <w:rFonts w:ascii="Times New Roman" w:hAnsi="Times New Roman" w:cs="Times New Roman"/>
          <w:sz w:val="26"/>
          <w:szCs w:val="26"/>
        </w:rPr>
        <w:footnoteReference w:id="20"/>
      </w:r>
    </w:p>
    <w:p w:rsidR="00E7229A" w:rsidRPr="00FC2C06" w:rsidRDefault="00E7229A" w:rsidP="00030211">
      <w:pPr>
        <w:spacing w:after="0" w:line="240" w:lineRule="auto"/>
        <w:rPr>
          <w:rFonts w:ascii="Times New Roman" w:hAnsi="Times New Roman" w:cs="Times New Roman"/>
          <w:sz w:val="26"/>
          <w:szCs w:val="26"/>
        </w:rPr>
      </w:pP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Alexander Hamilton explained in Federalist Paper No. 76 why the Convention had withdrawn from the President “the absolute power of appointment.”</w:t>
      </w:r>
      <w:r w:rsidRPr="00FC2C06">
        <w:rPr>
          <w:rStyle w:val="FootnoteReference"/>
          <w:rFonts w:ascii="Times New Roman" w:hAnsi="Times New Roman" w:cs="Times New Roman"/>
          <w:sz w:val="26"/>
          <w:szCs w:val="26"/>
        </w:rPr>
        <w:footnoteReference w:id="21"/>
      </w:r>
      <w:r w:rsidRPr="00FC2C06">
        <w:rPr>
          <w:rFonts w:ascii="Times New Roman" w:hAnsi="Times New Roman" w:cs="Times New Roman"/>
          <w:sz w:val="26"/>
          <w:szCs w:val="26"/>
        </w:rPr>
        <w:t xml:space="preserve"> Under the constitutional plan:</w:t>
      </w:r>
    </w:p>
    <w:p w:rsidR="00E7229A" w:rsidRPr="00FC2C06" w:rsidRDefault="00E7229A" w:rsidP="00030211">
      <w:pPr>
        <w:spacing w:after="0" w:line="240" w:lineRule="auto"/>
        <w:rPr>
          <w:rFonts w:ascii="Times New Roman" w:hAnsi="Times New Roman" w:cs="Times New Roman"/>
          <w:sz w:val="26"/>
          <w:szCs w:val="26"/>
        </w:rPr>
      </w:pP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Pr="00FC2C06">
        <w:rPr>
          <w:rFonts w:ascii="Times New Roman" w:hAnsi="Times New Roman" w:cs="Times New Roman"/>
          <w:sz w:val="26"/>
          <w:szCs w:val="26"/>
        </w:rPr>
        <w:tab/>
      </w:r>
      <w:r w:rsidR="00757C5B">
        <w:rPr>
          <w:rFonts w:ascii="Times New Roman" w:hAnsi="Times New Roman" w:cs="Times New Roman"/>
          <w:sz w:val="26"/>
          <w:szCs w:val="26"/>
        </w:rPr>
        <w:t>[</w:t>
      </w:r>
      <w:proofErr w:type="gramStart"/>
      <w:r>
        <w:rPr>
          <w:rFonts w:ascii="Times New Roman" w:hAnsi="Times New Roman" w:cs="Times New Roman"/>
          <w:sz w:val="26"/>
          <w:szCs w:val="26"/>
        </w:rPr>
        <w:t>T</w:t>
      </w:r>
      <w:r w:rsidR="00757C5B">
        <w:rPr>
          <w:rFonts w:ascii="Times New Roman" w:hAnsi="Times New Roman" w:cs="Times New Roman"/>
          <w:sz w:val="26"/>
          <w:szCs w:val="26"/>
        </w:rPr>
        <w:t>]</w:t>
      </w:r>
      <w:r w:rsidRPr="00FC2C06">
        <w:rPr>
          <w:rFonts w:ascii="Times New Roman" w:hAnsi="Times New Roman" w:cs="Times New Roman"/>
          <w:sz w:val="26"/>
          <w:szCs w:val="26"/>
        </w:rPr>
        <w:t>he</w:t>
      </w:r>
      <w:proofErr w:type="gramEnd"/>
      <w:r w:rsidRPr="00FC2C06">
        <w:rPr>
          <w:rFonts w:ascii="Times New Roman" w:hAnsi="Times New Roman" w:cs="Times New Roman"/>
          <w:sz w:val="26"/>
          <w:szCs w:val="26"/>
        </w:rPr>
        <w:t xml:space="preserve"> necessity of [the Senate’s] concurrence would have a powerful,</w:t>
      </w: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Pr="00FC2C06">
        <w:rPr>
          <w:rFonts w:ascii="Times New Roman" w:hAnsi="Times New Roman" w:cs="Times New Roman"/>
          <w:sz w:val="26"/>
          <w:szCs w:val="26"/>
        </w:rPr>
        <w:tab/>
      </w:r>
      <w:proofErr w:type="gramStart"/>
      <w:r w:rsidRPr="00FC2C06">
        <w:rPr>
          <w:rFonts w:ascii="Times New Roman" w:hAnsi="Times New Roman" w:cs="Times New Roman"/>
          <w:sz w:val="26"/>
          <w:szCs w:val="26"/>
        </w:rPr>
        <w:t>though</w:t>
      </w:r>
      <w:proofErr w:type="gramEnd"/>
      <w:r w:rsidRPr="00FC2C06">
        <w:rPr>
          <w:rFonts w:ascii="Times New Roman" w:hAnsi="Times New Roman" w:cs="Times New Roman"/>
          <w:sz w:val="26"/>
          <w:szCs w:val="26"/>
        </w:rPr>
        <w:t>, in general, a silent operation. It would be an excellent check</w:t>
      </w: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Pr="00FC2C06">
        <w:rPr>
          <w:rFonts w:ascii="Times New Roman" w:hAnsi="Times New Roman" w:cs="Times New Roman"/>
          <w:sz w:val="26"/>
          <w:szCs w:val="26"/>
        </w:rPr>
        <w:tab/>
      </w:r>
      <w:proofErr w:type="gramStart"/>
      <w:r w:rsidRPr="00FC2C06">
        <w:rPr>
          <w:rFonts w:ascii="Times New Roman" w:hAnsi="Times New Roman" w:cs="Times New Roman"/>
          <w:sz w:val="26"/>
          <w:szCs w:val="26"/>
        </w:rPr>
        <w:t>upon</w:t>
      </w:r>
      <w:proofErr w:type="gramEnd"/>
      <w:r w:rsidRPr="00FC2C06">
        <w:rPr>
          <w:rFonts w:ascii="Times New Roman" w:hAnsi="Times New Roman" w:cs="Times New Roman"/>
          <w:sz w:val="26"/>
          <w:szCs w:val="26"/>
        </w:rPr>
        <w:t xml:space="preserve"> a spirit of favoritism in the president, and would tend greatly to </w:t>
      </w: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Pr="00FC2C06">
        <w:rPr>
          <w:rFonts w:ascii="Times New Roman" w:hAnsi="Times New Roman" w:cs="Times New Roman"/>
          <w:sz w:val="26"/>
          <w:szCs w:val="26"/>
        </w:rPr>
        <w:tab/>
      </w:r>
      <w:proofErr w:type="gramStart"/>
      <w:r w:rsidRPr="00FC2C06">
        <w:rPr>
          <w:rFonts w:ascii="Times New Roman" w:hAnsi="Times New Roman" w:cs="Times New Roman"/>
          <w:sz w:val="26"/>
          <w:szCs w:val="26"/>
        </w:rPr>
        <w:t>prevent</w:t>
      </w:r>
      <w:proofErr w:type="gramEnd"/>
      <w:r w:rsidRPr="00FC2C06">
        <w:rPr>
          <w:rFonts w:ascii="Times New Roman" w:hAnsi="Times New Roman" w:cs="Times New Roman"/>
          <w:sz w:val="26"/>
          <w:szCs w:val="26"/>
        </w:rPr>
        <w:t xml:space="preserve"> the appointment of unfit characters from state prejudice, from</w:t>
      </w: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Pr="00FC2C06">
        <w:rPr>
          <w:rFonts w:ascii="Times New Roman" w:hAnsi="Times New Roman" w:cs="Times New Roman"/>
          <w:sz w:val="26"/>
          <w:szCs w:val="26"/>
        </w:rPr>
        <w:tab/>
      </w:r>
      <w:proofErr w:type="gramStart"/>
      <w:r w:rsidRPr="00FC2C06">
        <w:rPr>
          <w:rFonts w:ascii="Times New Roman" w:hAnsi="Times New Roman" w:cs="Times New Roman"/>
          <w:sz w:val="26"/>
          <w:szCs w:val="26"/>
        </w:rPr>
        <w:t>family</w:t>
      </w:r>
      <w:proofErr w:type="gramEnd"/>
      <w:r w:rsidRPr="00FC2C06">
        <w:rPr>
          <w:rFonts w:ascii="Times New Roman" w:hAnsi="Times New Roman" w:cs="Times New Roman"/>
          <w:sz w:val="26"/>
          <w:szCs w:val="26"/>
        </w:rPr>
        <w:t xml:space="preserve"> connection, from personal attachment, or from a view to popularity</w:t>
      </w:r>
      <w:r w:rsidR="009D3CD6">
        <w:rPr>
          <w:rFonts w:ascii="Times New Roman" w:hAnsi="Times New Roman" w:cs="Times New Roman"/>
          <w:sz w:val="26"/>
          <w:szCs w:val="26"/>
        </w:rPr>
        <w:t>.</w:t>
      </w: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Pr="00FC2C06">
        <w:rPr>
          <w:rFonts w:ascii="Times New Roman" w:hAnsi="Times New Roman" w:cs="Times New Roman"/>
          <w:sz w:val="26"/>
          <w:szCs w:val="26"/>
        </w:rPr>
        <w:tab/>
        <w:t xml:space="preserve">In addition to this, it would be an efficacious source of stability in the </w:t>
      </w:r>
      <w:r w:rsidRPr="00FC2C06">
        <w:rPr>
          <w:rFonts w:ascii="Times New Roman" w:hAnsi="Times New Roman" w:cs="Times New Roman"/>
          <w:sz w:val="26"/>
          <w:szCs w:val="26"/>
        </w:rPr>
        <w:tab/>
      </w:r>
      <w:r w:rsidRPr="00FC2C06">
        <w:rPr>
          <w:rFonts w:ascii="Times New Roman" w:hAnsi="Times New Roman" w:cs="Times New Roman"/>
          <w:sz w:val="26"/>
          <w:szCs w:val="26"/>
        </w:rPr>
        <w:tab/>
      </w:r>
      <w:r w:rsidRPr="00FC2C06">
        <w:rPr>
          <w:rFonts w:ascii="Times New Roman" w:hAnsi="Times New Roman" w:cs="Times New Roman"/>
          <w:sz w:val="26"/>
          <w:szCs w:val="26"/>
        </w:rPr>
        <w:tab/>
        <w:t xml:space="preserve">administration. </w:t>
      </w:r>
      <w:r w:rsidRPr="00FC2C06">
        <w:rPr>
          <w:rStyle w:val="FootnoteReference"/>
          <w:rFonts w:ascii="Times New Roman" w:hAnsi="Times New Roman" w:cs="Times New Roman"/>
          <w:sz w:val="26"/>
          <w:szCs w:val="26"/>
        </w:rPr>
        <w:footnoteReference w:id="22"/>
      </w:r>
      <w:r w:rsidRPr="00FC2C06">
        <w:rPr>
          <w:rFonts w:ascii="Times New Roman" w:hAnsi="Times New Roman" w:cs="Times New Roman"/>
          <w:sz w:val="26"/>
          <w:szCs w:val="26"/>
        </w:rPr>
        <w:t xml:space="preserve"> </w:t>
      </w:r>
    </w:p>
    <w:p w:rsidR="00E7229A" w:rsidRPr="00FC2C06" w:rsidRDefault="00E7229A" w:rsidP="00030211">
      <w:pPr>
        <w:spacing w:after="0" w:line="240" w:lineRule="auto"/>
        <w:rPr>
          <w:rFonts w:ascii="Times New Roman" w:hAnsi="Times New Roman" w:cs="Times New Roman"/>
          <w:sz w:val="26"/>
          <w:szCs w:val="26"/>
        </w:rPr>
      </w:pPr>
    </w:p>
    <w:p w:rsidR="00E7229A" w:rsidRPr="00FC2C06" w:rsidRDefault="00E7229A" w:rsidP="00030211">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 xml:space="preserve">Hamilton also commented that “The possibility of rejection would be a strong motive to care in proposing” and </w:t>
      </w:r>
      <w:r>
        <w:rPr>
          <w:rFonts w:ascii="Times New Roman" w:hAnsi="Times New Roman" w:cs="Times New Roman"/>
          <w:sz w:val="26"/>
          <w:szCs w:val="26"/>
        </w:rPr>
        <w:t xml:space="preserve">would deter the President from </w:t>
      </w:r>
      <w:r w:rsidRPr="00FC2C06">
        <w:rPr>
          <w:rFonts w:ascii="Times New Roman" w:hAnsi="Times New Roman" w:cs="Times New Roman"/>
          <w:sz w:val="26"/>
          <w:szCs w:val="26"/>
        </w:rPr>
        <w:t>naming “candidates who had no other merit than that of coming from the same State to which he particularly belonged, or being in some way or other personally allied to him, or possessing the necessary insignificance and pliancy to render them the obsequious instruments o</w:t>
      </w:r>
      <w:r w:rsidR="009D3CD6">
        <w:rPr>
          <w:rFonts w:ascii="Times New Roman" w:hAnsi="Times New Roman" w:cs="Times New Roman"/>
          <w:sz w:val="26"/>
          <w:szCs w:val="26"/>
        </w:rPr>
        <w:t>f</w:t>
      </w:r>
      <w:r w:rsidRPr="00FC2C06">
        <w:rPr>
          <w:rFonts w:ascii="Times New Roman" w:hAnsi="Times New Roman" w:cs="Times New Roman"/>
          <w:sz w:val="26"/>
          <w:szCs w:val="26"/>
        </w:rPr>
        <w:t xml:space="preserve"> his pleasure.”</w:t>
      </w:r>
      <w:r w:rsidRPr="00FC2C06">
        <w:rPr>
          <w:rStyle w:val="FootnoteReference"/>
          <w:rFonts w:ascii="Times New Roman" w:hAnsi="Times New Roman" w:cs="Times New Roman"/>
          <w:sz w:val="26"/>
          <w:szCs w:val="26"/>
        </w:rPr>
        <w:footnoteReference w:id="23"/>
      </w:r>
      <w:r w:rsidRPr="00FC2C06">
        <w:rPr>
          <w:rFonts w:ascii="Times New Roman" w:hAnsi="Times New Roman" w:cs="Times New Roman"/>
          <w:sz w:val="26"/>
          <w:szCs w:val="26"/>
        </w:rPr>
        <w:t xml:space="preserve"> </w:t>
      </w:r>
      <w:r w:rsidRPr="00FC2C06">
        <w:rPr>
          <w:rFonts w:ascii="Times New Roman" w:hAnsi="Times New Roman" w:cs="Times New Roman"/>
          <w:sz w:val="26"/>
          <w:szCs w:val="26"/>
        </w:rPr>
        <w:lastRenderedPageBreak/>
        <w:t>The Supreme Court has consistently stated its accord with this understanding of the nature, purpose and effect of the compromises</w:t>
      </w:r>
      <w:r w:rsidR="009D3CD6">
        <w:rPr>
          <w:rFonts w:ascii="Times New Roman" w:hAnsi="Times New Roman" w:cs="Times New Roman"/>
          <w:sz w:val="26"/>
          <w:szCs w:val="26"/>
        </w:rPr>
        <w:t>,</w:t>
      </w:r>
      <w:r w:rsidRPr="00FC2C06">
        <w:rPr>
          <w:rFonts w:ascii="Times New Roman" w:hAnsi="Times New Roman" w:cs="Times New Roman"/>
          <w:sz w:val="26"/>
          <w:szCs w:val="26"/>
        </w:rPr>
        <w:t xml:space="preserve"> respecting the adoption of an appointments process that is safeguarded by these checks and balances.</w:t>
      </w:r>
      <w:r w:rsidRPr="00FC2C06">
        <w:rPr>
          <w:rStyle w:val="FootnoteReference"/>
          <w:rFonts w:ascii="Times New Roman" w:hAnsi="Times New Roman" w:cs="Times New Roman"/>
          <w:sz w:val="26"/>
          <w:szCs w:val="26"/>
        </w:rPr>
        <w:footnoteReference w:id="24"/>
      </w:r>
      <w:r w:rsidRPr="00FC2C06">
        <w:rPr>
          <w:rFonts w:ascii="Times New Roman" w:hAnsi="Times New Roman" w:cs="Times New Roman"/>
          <w:sz w:val="26"/>
          <w:szCs w:val="26"/>
        </w:rPr>
        <w:t xml:space="preserve"> </w:t>
      </w:r>
    </w:p>
    <w:p w:rsidR="00E7229A" w:rsidRPr="00FC2C06" w:rsidRDefault="00E7229A" w:rsidP="00030211">
      <w:pPr>
        <w:spacing w:after="0" w:line="240" w:lineRule="auto"/>
        <w:rPr>
          <w:rFonts w:ascii="Times New Roman" w:hAnsi="Times New Roman" w:cs="Times New Roman"/>
          <w:sz w:val="26"/>
          <w:szCs w:val="26"/>
        </w:rPr>
      </w:pPr>
    </w:p>
    <w:p w:rsidR="00E7229A" w:rsidRPr="0029439F" w:rsidRDefault="00E7229A" w:rsidP="00827B7D">
      <w:pPr>
        <w:pStyle w:val="ListParagraph"/>
        <w:numPr>
          <w:ilvl w:val="0"/>
          <w:numId w:val="12"/>
        </w:numPr>
        <w:spacing w:after="0" w:line="240" w:lineRule="auto"/>
        <w:rPr>
          <w:rFonts w:ascii="Times New Roman" w:hAnsi="Times New Roman" w:cs="Times New Roman"/>
          <w:sz w:val="26"/>
          <w:szCs w:val="26"/>
          <w:u w:val="single"/>
        </w:rPr>
      </w:pPr>
      <w:r w:rsidRPr="0029439F">
        <w:rPr>
          <w:rFonts w:ascii="Times New Roman" w:hAnsi="Times New Roman" w:cs="Times New Roman"/>
          <w:sz w:val="26"/>
          <w:szCs w:val="26"/>
          <w:u w:val="single"/>
        </w:rPr>
        <w:t xml:space="preserve">Effective Checks and Balances Require that the Powers of the </w:t>
      </w:r>
      <w:r w:rsidR="00AB5D6C">
        <w:rPr>
          <w:rFonts w:ascii="Times New Roman" w:hAnsi="Times New Roman" w:cs="Times New Roman"/>
          <w:sz w:val="26"/>
          <w:szCs w:val="26"/>
          <w:u w:val="single"/>
        </w:rPr>
        <w:t xml:space="preserve">Political </w:t>
      </w:r>
      <w:r w:rsidRPr="0029439F">
        <w:rPr>
          <w:rFonts w:ascii="Times New Roman" w:hAnsi="Times New Roman" w:cs="Times New Roman"/>
          <w:sz w:val="26"/>
          <w:szCs w:val="26"/>
          <w:u w:val="single"/>
        </w:rPr>
        <w:t>Branches at Each Stage of the General Appointments Scheme Are Exclusive and Plenary</w:t>
      </w:r>
    </w:p>
    <w:p w:rsidR="00E7229A" w:rsidRPr="00FC2C06" w:rsidRDefault="00E7229A" w:rsidP="00545229">
      <w:pPr>
        <w:spacing w:after="0" w:line="240" w:lineRule="auto"/>
        <w:ind w:left="720"/>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adopted general appointments scheme provides that the President “shall nominate, and by and with the Advice and Consent of the Senate, shall appoint</w:t>
      </w:r>
      <w:r w:rsidR="009D3CD6">
        <w:rPr>
          <w:rFonts w:ascii="Times New Roman" w:hAnsi="Times New Roman" w:cs="Times New Roman"/>
          <w:sz w:val="26"/>
          <w:szCs w:val="26"/>
        </w:rPr>
        <w:t>,</w:t>
      </w:r>
      <w:r w:rsidRPr="00FC2C06">
        <w:rPr>
          <w:rFonts w:ascii="Times New Roman" w:hAnsi="Times New Roman" w:cs="Times New Roman"/>
          <w:sz w:val="26"/>
          <w:szCs w:val="26"/>
        </w:rPr>
        <w:t xml:space="preserve"> Ambassadors, other public Ministers and Consuls, Judges of the </w:t>
      </w:r>
      <w:r w:rsidR="009C1624">
        <w:rPr>
          <w:rFonts w:ascii="Times New Roman" w:hAnsi="Times New Roman" w:cs="Times New Roman"/>
          <w:sz w:val="26"/>
          <w:szCs w:val="26"/>
        </w:rPr>
        <w:t>s</w:t>
      </w:r>
      <w:r w:rsidRPr="00FC2C06">
        <w:rPr>
          <w:rFonts w:ascii="Times New Roman" w:hAnsi="Times New Roman" w:cs="Times New Roman"/>
          <w:sz w:val="26"/>
          <w:szCs w:val="26"/>
        </w:rPr>
        <w:t>upreme Court, and all other Officers of the United States, whose Appointments are not herein otherwise provided for, and which shall be established; but Congress may by Law vest the Appointment of such inferior Officers, as they think proper, in the President alone, in the Courts of Law, or in the Heads of Departments….The President…shall Commission all the Officers of the United States.”</w:t>
      </w:r>
      <w:r w:rsidRPr="00FC2C06">
        <w:rPr>
          <w:rStyle w:val="FootnoteReference"/>
          <w:rFonts w:ascii="Times New Roman" w:hAnsi="Times New Roman" w:cs="Times New Roman"/>
          <w:sz w:val="26"/>
          <w:szCs w:val="26"/>
        </w:rPr>
        <w:footnoteReference w:id="25"/>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DC4ED5"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This finely tuned scheme establishes three separate and distinct stages for appointments.  The first is the “nomination” by the President alone; the second is the Senate’s assent (or not) to the nominee’s “appointment;” and the third is the final appointment and commissioning by the President.</w:t>
      </w:r>
      <w:r w:rsidRPr="00FC2C06">
        <w:rPr>
          <w:rStyle w:val="FootnoteReference"/>
          <w:rFonts w:ascii="Times New Roman" w:hAnsi="Times New Roman" w:cs="Times New Roman"/>
          <w:sz w:val="26"/>
          <w:szCs w:val="26"/>
        </w:rPr>
        <w:footnoteReference w:id="26"/>
      </w:r>
      <w:r w:rsidRPr="00FC2C06">
        <w:rPr>
          <w:rFonts w:ascii="Times New Roman" w:hAnsi="Times New Roman" w:cs="Times New Roman"/>
          <w:sz w:val="26"/>
          <w:szCs w:val="26"/>
        </w:rPr>
        <w:t xml:space="preserve">  At each stage the respective branch prerogatives are carefully and clearly demarked and have</w:t>
      </w:r>
      <w:r w:rsidR="009D3CD6">
        <w:rPr>
          <w:rFonts w:ascii="Times New Roman" w:hAnsi="Times New Roman" w:cs="Times New Roman"/>
          <w:sz w:val="26"/>
          <w:szCs w:val="26"/>
        </w:rPr>
        <w:t xml:space="preserve"> long</w:t>
      </w:r>
      <w:r w:rsidRPr="00FC2C06">
        <w:rPr>
          <w:rFonts w:ascii="Times New Roman" w:hAnsi="Times New Roman" w:cs="Times New Roman"/>
          <w:sz w:val="26"/>
          <w:szCs w:val="26"/>
        </w:rPr>
        <w:t xml:space="preserve"> been understood to be exclusive and plenary to that branch.  Thus, only the President can nominate and commission.</w:t>
      </w:r>
      <w:r w:rsidRPr="00FC2C06">
        <w:rPr>
          <w:rStyle w:val="FootnoteReference"/>
          <w:rFonts w:ascii="Times New Roman" w:hAnsi="Times New Roman" w:cs="Times New Roman"/>
          <w:sz w:val="26"/>
          <w:szCs w:val="26"/>
        </w:rPr>
        <w:footnoteReference w:id="27"/>
      </w:r>
      <w:r w:rsidRPr="00FC2C06">
        <w:rPr>
          <w:rFonts w:ascii="Times New Roman" w:hAnsi="Times New Roman" w:cs="Times New Roman"/>
          <w:sz w:val="26"/>
          <w:szCs w:val="26"/>
        </w:rPr>
        <w:t xml:space="preserve"> Congressional appointments are prohibited.</w:t>
      </w:r>
      <w:r w:rsidRPr="00FC2C06">
        <w:rPr>
          <w:rStyle w:val="FootnoteReference"/>
          <w:rFonts w:ascii="Times New Roman" w:hAnsi="Times New Roman" w:cs="Times New Roman"/>
          <w:sz w:val="26"/>
          <w:szCs w:val="26"/>
        </w:rPr>
        <w:footnoteReference w:id="28"/>
      </w:r>
      <w:r w:rsidRPr="00FC2C06">
        <w:rPr>
          <w:rFonts w:ascii="Times New Roman" w:hAnsi="Times New Roman" w:cs="Times New Roman"/>
          <w:sz w:val="26"/>
          <w:szCs w:val="26"/>
        </w:rPr>
        <w:t xml:space="preserve">  A presidential failure to nominate for a vacant position cannot be remedied by a judicial order</w:t>
      </w:r>
      <w:r w:rsidR="00DC4ED5">
        <w:rPr>
          <w:rFonts w:ascii="Times New Roman" w:hAnsi="Times New Roman" w:cs="Times New Roman"/>
          <w:sz w:val="26"/>
          <w:szCs w:val="26"/>
        </w:rPr>
        <w:t xml:space="preserve"> directing such action</w:t>
      </w:r>
      <w:r w:rsidRPr="00FC2C06">
        <w:rPr>
          <w:rFonts w:ascii="Times New Roman" w:hAnsi="Times New Roman" w:cs="Times New Roman"/>
          <w:sz w:val="26"/>
          <w:szCs w:val="26"/>
        </w:rPr>
        <w:t>.</w:t>
      </w:r>
      <w:r w:rsidRPr="00FC2C06">
        <w:rPr>
          <w:rStyle w:val="FootnoteReference"/>
          <w:rFonts w:ascii="Times New Roman" w:hAnsi="Times New Roman" w:cs="Times New Roman"/>
          <w:sz w:val="26"/>
          <w:szCs w:val="26"/>
        </w:rPr>
        <w:footnoteReference w:id="29"/>
      </w:r>
      <w:r w:rsidRPr="00FC2C06">
        <w:rPr>
          <w:rFonts w:ascii="Times New Roman" w:hAnsi="Times New Roman" w:cs="Times New Roman"/>
          <w:sz w:val="26"/>
          <w:szCs w:val="26"/>
        </w:rPr>
        <w:t xml:space="preserve">  </w:t>
      </w:r>
      <w:r w:rsidR="00755D7C">
        <w:rPr>
          <w:rFonts w:ascii="Times New Roman" w:hAnsi="Times New Roman" w:cs="Times New Roman"/>
          <w:sz w:val="26"/>
          <w:szCs w:val="26"/>
        </w:rPr>
        <w:t>Also</w:t>
      </w:r>
      <w:r w:rsidRPr="00FC2C06">
        <w:rPr>
          <w:rFonts w:ascii="Times New Roman" w:hAnsi="Times New Roman" w:cs="Times New Roman"/>
          <w:sz w:val="26"/>
          <w:szCs w:val="26"/>
        </w:rPr>
        <w:t xml:space="preserve">, just as the Senate may block a nomination in order to forestall the appointment of a principal officer, the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may achieve the same result by refusing to nominate a principal officer.  In either case the failure to appoint an officer may be based on considerations other than the qualifications of the nominee, and in each case, the result is a valid exercise of a prerogative of that branch of Government.</w:t>
      </w:r>
      <w:r w:rsidR="00790A64">
        <w:rPr>
          <w:rFonts w:ascii="Times New Roman" w:hAnsi="Times New Roman" w:cs="Times New Roman"/>
          <w:sz w:val="26"/>
          <w:szCs w:val="26"/>
        </w:rPr>
        <w:t xml:space="preserve"> Once the Senate reports a successful confirmation the president is free to commission the appointee</w:t>
      </w:r>
      <w:r w:rsidR="001332DD">
        <w:rPr>
          <w:rFonts w:ascii="Times New Roman" w:hAnsi="Times New Roman" w:cs="Times New Roman"/>
          <w:sz w:val="26"/>
          <w:szCs w:val="26"/>
        </w:rPr>
        <w:t xml:space="preserve"> </w:t>
      </w:r>
      <w:r w:rsidR="00790A64">
        <w:rPr>
          <w:rFonts w:ascii="Times New Roman" w:hAnsi="Times New Roman" w:cs="Times New Roman"/>
          <w:sz w:val="26"/>
          <w:szCs w:val="26"/>
        </w:rPr>
        <w:t>at his discretion.</w:t>
      </w:r>
      <w:r w:rsidRPr="00FC2C06">
        <w:rPr>
          <w:rFonts w:ascii="Times New Roman" w:hAnsi="Times New Roman" w:cs="Times New Roman"/>
          <w:sz w:val="26"/>
          <w:szCs w:val="26"/>
        </w:rPr>
        <w:t xml:space="preserve"> </w:t>
      </w:r>
    </w:p>
    <w:p w:rsidR="00DC4ED5" w:rsidRDefault="00DC4ED5" w:rsidP="00D067DB">
      <w:pPr>
        <w:spacing w:after="0" w:line="240" w:lineRule="auto"/>
        <w:rPr>
          <w:rFonts w:ascii="Times New Roman" w:hAnsi="Times New Roman" w:cs="Times New Roman"/>
          <w:sz w:val="26"/>
          <w:szCs w:val="26"/>
        </w:rPr>
      </w:pPr>
    </w:p>
    <w:p w:rsidR="00CD487C" w:rsidRPr="00DC4ED5" w:rsidRDefault="00DC4ED5" w:rsidP="00DC4ED5">
      <w:pPr>
        <w:spacing w:after="0" w:line="240" w:lineRule="auto"/>
        <w:rPr>
          <w:rFonts w:ascii="Times New Roman" w:hAnsi="Times New Roman" w:cs="Times New Roman"/>
          <w:sz w:val="26"/>
          <w:szCs w:val="26"/>
        </w:rPr>
      </w:pPr>
      <w:r w:rsidRPr="00DC4ED5">
        <w:rPr>
          <w:rFonts w:ascii="Times New Roman" w:hAnsi="Times New Roman" w:cs="Times New Roman"/>
          <w:sz w:val="26"/>
          <w:szCs w:val="26"/>
        </w:rPr>
        <w:lastRenderedPageBreak/>
        <w:tab/>
      </w:r>
      <w:r w:rsidR="00543895">
        <w:rPr>
          <w:rFonts w:ascii="Times New Roman" w:hAnsi="Times New Roman" w:cs="Times New Roman"/>
          <w:b/>
          <w:sz w:val="26"/>
          <w:szCs w:val="26"/>
        </w:rPr>
        <w:t>1</w:t>
      </w:r>
      <w:r>
        <w:rPr>
          <w:rFonts w:ascii="Times New Roman" w:hAnsi="Times New Roman" w:cs="Times New Roman"/>
          <w:sz w:val="26"/>
          <w:szCs w:val="26"/>
        </w:rPr>
        <w:t xml:space="preserve">. </w:t>
      </w:r>
      <w:r>
        <w:rPr>
          <w:rFonts w:ascii="Times New Roman" w:hAnsi="Times New Roman" w:cs="Times New Roman"/>
          <w:b/>
          <w:sz w:val="26"/>
          <w:szCs w:val="26"/>
        </w:rPr>
        <w:t xml:space="preserve">Presidential Control of Nominations. </w:t>
      </w:r>
      <w:r w:rsidR="00425E0B" w:rsidRPr="00DC4ED5">
        <w:rPr>
          <w:rFonts w:ascii="Times New Roman" w:hAnsi="Times New Roman" w:cs="Times New Roman"/>
          <w:sz w:val="26"/>
          <w:szCs w:val="26"/>
        </w:rPr>
        <w:t>In fact</w:t>
      </w:r>
      <w:r w:rsidR="00F974A5" w:rsidRPr="00DC4ED5">
        <w:rPr>
          <w:rFonts w:ascii="Times New Roman" w:hAnsi="Times New Roman" w:cs="Times New Roman"/>
          <w:sz w:val="26"/>
          <w:szCs w:val="26"/>
        </w:rPr>
        <w:t>, p</w:t>
      </w:r>
      <w:r w:rsidR="00AB5D6C" w:rsidRPr="00DC4ED5">
        <w:rPr>
          <w:rFonts w:ascii="Times New Roman" w:hAnsi="Times New Roman" w:cs="Times New Roman"/>
          <w:sz w:val="26"/>
          <w:szCs w:val="26"/>
        </w:rPr>
        <w:t xml:space="preserve">residents in the past have often withheld nominations for vacant advice and consent </w:t>
      </w:r>
      <w:proofErr w:type="gramStart"/>
      <w:r w:rsidR="00AB5D6C" w:rsidRPr="00DC4ED5">
        <w:rPr>
          <w:rFonts w:ascii="Times New Roman" w:hAnsi="Times New Roman" w:cs="Times New Roman"/>
          <w:sz w:val="26"/>
          <w:szCs w:val="26"/>
        </w:rPr>
        <w:t xml:space="preserve">positions </w:t>
      </w:r>
      <w:r w:rsidR="00D62F6B" w:rsidRPr="00DC4ED5">
        <w:rPr>
          <w:rFonts w:ascii="Times New Roman" w:hAnsi="Times New Roman" w:cs="Times New Roman"/>
          <w:sz w:val="26"/>
          <w:szCs w:val="26"/>
        </w:rPr>
        <w:t>which</w:t>
      </w:r>
      <w:proofErr w:type="gramEnd"/>
      <w:r w:rsidR="00AB5D6C" w:rsidRPr="00DC4ED5">
        <w:rPr>
          <w:rFonts w:ascii="Times New Roman" w:hAnsi="Times New Roman" w:cs="Times New Roman"/>
          <w:sz w:val="26"/>
          <w:szCs w:val="26"/>
        </w:rPr>
        <w:t xml:space="preserve"> </w:t>
      </w:r>
      <w:r w:rsidR="00F6141A">
        <w:rPr>
          <w:rFonts w:ascii="Times New Roman" w:hAnsi="Times New Roman" w:cs="Times New Roman"/>
          <w:sz w:val="26"/>
          <w:szCs w:val="26"/>
        </w:rPr>
        <w:t xml:space="preserve">may </w:t>
      </w:r>
      <w:r w:rsidR="00AB5D6C" w:rsidRPr="00DC4ED5">
        <w:rPr>
          <w:rFonts w:ascii="Times New Roman" w:hAnsi="Times New Roman" w:cs="Times New Roman"/>
          <w:sz w:val="26"/>
          <w:szCs w:val="26"/>
        </w:rPr>
        <w:t>cause detrimental consequences for targeted programs or policies</w:t>
      </w:r>
      <w:r w:rsidR="00F974A5" w:rsidRPr="00DC4ED5">
        <w:rPr>
          <w:rFonts w:ascii="Times New Roman" w:hAnsi="Times New Roman" w:cs="Times New Roman"/>
          <w:sz w:val="26"/>
          <w:szCs w:val="26"/>
        </w:rPr>
        <w:t xml:space="preserve">, at times in order to force a particular congressional action. Such extended vacancies can provide significant Executive leverage since they may contribute to </w:t>
      </w:r>
      <w:proofErr w:type="gramStart"/>
      <w:r w:rsidR="001332DD">
        <w:rPr>
          <w:rFonts w:ascii="Times New Roman" w:hAnsi="Times New Roman" w:cs="Times New Roman"/>
          <w:sz w:val="26"/>
          <w:szCs w:val="26"/>
        </w:rPr>
        <w:t xml:space="preserve">a </w:t>
      </w:r>
      <w:r w:rsidR="00F6141A">
        <w:rPr>
          <w:rFonts w:ascii="Times New Roman" w:hAnsi="Times New Roman" w:cs="Times New Roman"/>
          <w:sz w:val="26"/>
          <w:szCs w:val="26"/>
        </w:rPr>
        <w:t>desired</w:t>
      </w:r>
      <w:proofErr w:type="gramEnd"/>
      <w:r w:rsidR="00F6141A">
        <w:rPr>
          <w:rFonts w:ascii="Times New Roman" w:hAnsi="Times New Roman" w:cs="Times New Roman"/>
          <w:sz w:val="26"/>
          <w:szCs w:val="26"/>
        </w:rPr>
        <w:t xml:space="preserve"> </w:t>
      </w:r>
      <w:r w:rsidR="00F974A5" w:rsidRPr="00DC4ED5">
        <w:rPr>
          <w:rFonts w:ascii="Times New Roman" w:hAnsi="Times New Roman" w:cs="Times New Roman"/>
          <w:sz w:val="26"/>
          <w:szCs w:val="26"/>
        </w:rPr>
        <w:t xml:space="preserve">agency inaction, foster confusion among nonpolitical employees, </w:t>
      </w:r>
      <w:r w:rsidR="00391D11">
        <w:rPr>
          <w:rFonts w:ascii="Times New Roman" w:hAnsi="Times New Roman" w:cs="Times New Roman"/>
          <w:sz w:val="26"/>
          <w:szCs w:val="26"/>
        </w:rPr>
        <w:t>or</w:t>
      </w:r>
      <w:r w:rsidR="00F974A5" w:rsidRPr="00DC4ED5">
        <w:rPr>
          <w:rFonts w:ascii="Times New Roman" w:hAnsi="Times New Roman" w:cs="Times New Roman"/>
          <w:sz w:val="26"/>
          <w:szCs w:val="26"/>
        </w:rPr>
        <w:t xml:space="preserve"> undermine agency legitimacy.</w:t>
      </w:r>
      <w:r w:rsidR="00F974A5">
        <w:rPr>
          <w:rStyle w:val="FootnoteReference"/>
          <w:rFonts w:ascii="Times New Roman" w:hAnsi="Times New Roman" w:cs="Times New Roman"/>
          <w:sz w:val="26"/>
          <w:szCs w:val="26"/>
        </w:rPr>
        <w:footnoteReference w:id="30"/>
      </w:r>
      <w:r w:rsidR="00F974A5" w:rsidRPr="00DC4ED5">
        <w:rPr>
          <w:rFonts w:ascii="Times New Roman" w:hAnsi="Times New Roman" w:cs="Times New Roman"/>
          <w:sz w:val="26"/>
          <w:szCs w:val="26"/>
        </w:rPr>
        <w:t xml:space="preserve"> </w:t>
      </w:r>
      <w:r w:rsidR="00A56B57">
        <w:rPr>
          <w:rFonts w:ascii="Times New Roman" w:hAnsi="Times New Roman" w:cs="Times New Roman"/>
          <w:sz w:val="26"/>
          <w:szCs w:val="26"/>
        </w:rPr>
        <w:t>Although courts will not direct a presidential submission of a nomination, an extended</w:t>
      </w:r>
      <w:r w:rsidR="00391D11">
        <w:rPr>
          <w:rFonts w:ascii="Times New Roman" w:hAnsi="Times New Roman" w:cs="Times New Roman"/>
          <w:sz w:val="26"/>
          <w:szCs w:val="26"/>
        </w:rPr>
        <w:t xml:space="preserve">, </w:t>
      </w:r>
      <w:proofErr w:type="gramStart"/>
      <w:r w:rsidR="00391D11">
        <w:rPr>
          <w:rFonts w:ascii="Times New Roman" w:hAnsi="Times New Roman" w:cs="Times New Roman"/>
          <w:sz w:val="26"/>
          <w:szCs w:val="26"/>
        </w:rPr>
        <w:t xml:space="preserve">indefinite </w:t>
      </w:r>
      <w:r w:rsidR="00A56B57">
        <w:rPr>
          <w:rFonts w:ascii="Times New Roman" w:hAnsi="Times New Roman" w:cs="Times New Roman"/>
          <w:sz w:val="26"/>
          <w:szCs w:val="26"/>
        </w:rPr>
        <w:t xml:space="preserve"> delay</w:t>
      </w:r>
      <w:proofErr w:type="gramEnd"/>
      <w:r w:rsidR="00A56B57">
        <w:rPr>
          <w:rFonts w:ascii="Times New Roman" w:hAnsi="Times New Roman" w:cs="Times New Roman"/>
          <w:sz w:val="26"/>
          <w:szCs w:val="26"/>
        </w:rPr>
        <w:t xml:space="preserve"> that allows an unconfirmed occupant of a vacant office </w:t>
      </w:r>
      <w:r w:rsidR="001332DD">
        <w:rPr>
          <w:rFonts w:ascii="Times New Roman" w:hAnsi="Times New Roman" w:cs="Times New Roman"/>
          <w:sz w:val="26"/>
          <w:szCs w:val="26"/>
        </w:rPr>
        <w:t xml:space="preserve">advice and consent </w:t>
      </w:r>
      <w:r w:rsidR="00A56B57">
        <w:rPr>
          <w:rFonts w:ascii="Times New Roman" w:hAnsi="Times New Roman" w:cs="Times New Roman"/>
          <w:sz w:val="26"/>
          <w:szCs w:val="26"/>
        </w:rPr>
        <w:t>to exercise its substantive authorities may be found unlawful</w:t>
      </w:r>
      <w:r w:rsidR="00105070">
        <w:rPr>
          <w:rFonts w:ascii="Times New Roman" w:hAnsi="Times New Roman" w:cs="Times New Roman"/>
          <w:sz w:val="26"/>
          <w:szCs w:val="26"/>
        </w:rPr>
        <w:t xml:space="preserve"> and </w:t>
      </w:r>
      <w:r w:rsidR="00391D11">
        <w:rPr>
          <w:rFonts w:ascii="Times New Roman" w:hAnsi="Times New Roman" w:cs="Times New Roman"/>
          <w:sz w:val="26"/>
          <w:szCs w:val="26"/>
        </w:rPr>
        <w:t xml:space="preserve">to </w:t>
      </w:r>
      <w:r w:rsidR="00105070">
        <w:rPr>
          <w:rFonts w:ascii="Times New Roman" w:hAnsi="Times New Roman" w:cs="Times New Roman"/>
          <w:sz w:val="26"/>
          <w:szCs w:val="26"/>
        </w:rPr>
        <w:t>have tainted actions taken.</w:t>
      </w:r>
      <w:r w:rsidR="00A56B57">
        <w:rPr>
          <w:rFonts w:ascii="Times New Roman" w:hAnsi="Times New Roman" w:cs="Times New Roman"/>
          <w:sz w:val="26"/>
          <w:szCs w:val="26"/>
        </w:rPr>
        <w:t xml:space="preserve"> </w:t>
      </w:r>
      <w:r w:rsidR="00CD487C" w:rsidRPr="00DC4ED5">
        <w:rPr>
          <w:rFonts w:ascii="Times New Roman" w:hAnsi="Times New Roman" w:cs="Times New Roman"/>
          <w:sz w:val="26"/>
          <w:szCs w:val="26"/>
        </w:rPr>
        <w:t>Contemporaneous illustrations of the presidential exercise of the “power of nonappointment</w:t>
      </w:r>
      <w:proofErr w:type="gramStart"/>
      <w:r w:rsidR="00CD487C" w:rsidRPr="00DC4ED5">
        <w:rPr>
          <w:rFonts w:ascii="Times New Roman" w:hAnsi="Times New Roman" w:cs="Times New Roman"/>
          <w:sz w:val="26"/>
          <w:szCs w:val="26"/>
        </w:rPr>
        <w:t xml:space="preserve">” </w:t>
      </w:r>
      <w:r w:rsidR="001332DD">
        <w:rPr>
          <w:rFonts w:ascii="Times New Roman" w:hAnsi="Times New Roman" w:cs="Times New Roman"/>
          <w:sz w:val="26"/>
          <w:szCs w:val="26"/>
        </w:rPr>
        <w:t xml:space="preserve"> and</w:t>
      </w:r>
      <w:proofErr w:type="gramEnd"/>
      <w:r w:rsidR="001332DD">
        <w:rPr>
          <w:rFonts w:ascii="Times New Roman" w:hAnsi="Times New Roman" w:cs="Times New Roman"/>
          <w:sz w:val="26"/>
          <w:szCs w:val="26"/>
        </w:rPr>
        <w:t xml:space="preserve"> its consequences </w:t>
      </w:r>
      <w:r w:rsidR="00D62F6B" w:rsidRPr="00DC4ED5">
        <w:rPr>
          <w:rFonts w:ascii="Times New Roman" w:hAnsi="Times New Roman" w:cs="Times New Roman"/>
          <w:sz w:val="26"/>
          <w:szCs w:val="26"/>
        </w:rPr>
        <w:t>are</w:t>
      </w:r>
      <w:r w:rsidR="00CD487C" w:rsidRPr="00DC4ED5">
        <w:rPr>
          <w:rFonts w:ascii="Times New Roman" w:hAnsi="Times New Roman" w:cs="Times New Roman"/>
          <w:sz w:val="26"/>
          <w:szCs w:val="26"/>
        </w:rPr>
        <w:t xml:space="preserve"> illuminating.</w:t>
      </w:r>
    </w:p>
    <w:p w:rsidR="00CD487C" w:rsidRDefault="00CD487C" w:rsidP="00D067DB">
      <w:pPr>
        <w:spacing w:after="0" w:line="240" w:lineRule="auto"/>
        <w:rPr>
          <w:rFonts w:ascii="Times New Roman" w:hAnsi="Times New Roman" w:cs="Times New Roman"/>
          <w:sz w:val="26"/>
          <w:szCs w:val="26"/>
        </w:rPr>
      </w:pPr>
    </w:p>
    <w:p w:rsidR="00CD487C" w:rsidRPr="00DB0008" w:rsidRDefault="00522A3D" w:rsidP="00DB0008">
      <w:pPr>
        <w:pStyle w:val="ListParagraph"/>
        <w:numPr>
          <w:ilvl w:val="0"/>
          <w:numId w:val="17"/>
        </w:num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CD487C" w:rsidRPr="00DB0008">
        <w:rPr>
          <w:rFonts w:ascii="Times New Roman" w:hAnsi="Times New Roman" w:cs="Times New Roman"/>
          <w:i/>
          <w:sz w:val="26"/>
          <w:szCs w:val="26"/>
        </w:rPr>
        <w:t>Reorganization of the Department of Energy</w:t>
      </w:r>
      <w:r w:rsidR="009A609E" w:rsidRPr="00DB0008">
        <w:rPr>
          <w:rFonts w:ascii="Times New Roman" w:hAnsi="Times New Roman" w:cs="Times New Roman"/>
          <w:sz w:val="26"/>
          <w:szCs w:val="26"/>
        </w:rPr>
        <w:t xml:space="preserve"> </w:t>
      </w:r>
      <w:r w:rsidR="00CD487C" w:rsidRPr="00DB0008">
        <w:rPr>
          <w:rFonts w:ascii="Times New Roman" w:hAnsi="Times New Roman" w:cs="Times New Roman"/>
          <w:i/>
          <w:sz w:val="26"/>
          <w:szCs w:val="26"/>
        </w:rPr>
        <w:t>(1999-2000)</w:t>
      </w:r>
    </w:p>
    <w:p w:rsidR="00CD487C" w:rsidRDefault="00CD487C" w:rsidP="00D067DB">
      <w:pPr>
        <w:spacing w:after="0" w:line="240" w:lineRule="auto"/>
        <w:rPr>
          <w:rFonts w:ascii="Times New Roman" w:hAnsi="Times New Roman" w:cs="Times New Roman"/>
          <w:sz w:val="26"/>
          <w:szCs w:val="26"/>
        </w:rPr>
      </w:pPr>
    </w:p>
    <w:p w:rsidR="00E70D68" w:rsidRDefault="00CD487C"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9A609E">
        <w:rPr>
          <w:rFonts w:ascii="Times New Roman" w:hAnsi="Times New Roman" w:cs="Times New Roman"/>
          <w:sz w:val="26"/>
          <w:szCs w:val="26"/>
        </w:rPr>
        <w:t xml:space="preserve"> </w:t>
      </w:r>
      <w:r w:rsidR="00DA6925">
        <w:rPr>
          <w:rFonts w:ascii="Times New Roman" w:hAnsi="Times New Roman" w:cs="Times New Roman"/>
          <w:sz w:val="26"/>
          <w:szCs w:val="26"/>
        </w:rPr>
        <w:t>Y</w:t>
      </w:r>
      <w:r w:rsidR="0058050B">
        <w:rPr>
          <w:rFonts w:ascii="Times New Roman" w:hAnsi="Times New Roman" w:cs="Times New Roman"/>
          <w:sz w:val="26"/>
          <w:szCs w:val="26"/>
        </w:rPr>
        <w:t xml:space="preserve">ears of </w:t>
      </w:r>
      <w:r w:rsidR="00787B6C">
        <w:rPr>
          <w:rFonts w:ascii="Times New Roman" w:hAnsi="Times New Roman" w:cs="Times New Roman"/>
          <w:sz w:val="26"/>
          <w:szCs w:val="26"/>
        </w:rPr>
        <w:t xml:space="preserve">heightened concerns with respect to </w:t>
      </w:r>
      <w:r w:rsidR="00715FCD">
        <w:rPr>
          <w:rFonts w:ascii="Times New Roman" w:hAnsi="Times New Roman" w:cs="Times New Roman"/>
          <w:sz w:val="26"/>
          <w:szCs w:val="26"/>
        </w:rPr>
        <w:t xml:space="preserve">the effectiveness of </w:t>
      </w:r>
      <w:r w:rsidR="00787B6C">
        <w:rPr>
          <w:rFonts w:ascii="Times New Roman" w:hAnsi="Times New Roman" w:cs="Times New Roman"/>
          <w:sz w:val="26"/>
          <w:szCs w:val="26"/>
        </w:rPr>
        <w:t>oversight and management by the Department of Energy (DOE</w:t>
      </w:r>
      <w:proofErr w:type="gramStart"/>
      <w:r w:rsidR="00787B6C">
        <w:rPr>
          <w:rFonts w:ascii="Times New Roman" w:hAnsi="Times New Roman" w:cs="Times New Roman"/>
          <w:sz w:val="26"/>
          <w:szCs w:val="26"/>
        </w:rPr>
        <w:t>)  of</w:t>
      </w:r>
      <w:proofErr w:type="gramEnd"/>
      <w:r w:rsidR="00787B6C">
        <w:rPr>
          <w:rFonts w:ascii="Times New Roman" w:hAnsi="Times New Roman" w:cs="Times New Roman"/>
          <w:sz w:val="26"/>
          <w:szCs w:val="26"/>
        </w:rPr>
        <w:t xml:space="preserve"> the security of its nuclear weapons laboratories</w:t>
      </w:r>
      <w:r w:rsidR="008E22CE">
        <w:rPr>
          <w:rFonts w:ascii="Times New Roman" w:hAnsi="Times New Roman" w:cs="Times New Roman"/>
          <w:sz w:val="26"/>
          <w:szCs w:val="26"/>
        </w:rPr>
        <w:t xml:space="preserve"> </w:t>
      </w:r>
      <w:r w:rsidR="00787B6C">
        <w:rPr>
          <w:rFonts w:ascii="Times New Roman" w:hAnsi="Times New Roman" w:cs="Times New Roman"/>
          <w:sz w:val="26"/>
          <w:szCs w:val="26"/>
        </w:rPr>
        <w:t xml:space="preserve">prompted investigations by DOE </w:t>
      </w:r>
      <w:r w:rsidR="00DA6925">
        <w:rPr>
          <w:rFonts w:ascii="Times New Roman" w:hAnsi="Times New Roman" w:cs="Times New Roman"/>
          <w:sz w:val="26"/>
          <w:szCs w:val="26"/>
        </w:rPr>
        <w:t xml:space="preserve">itself </w:t>
      </w:r>
      <w:r w:rsidR="00787B6C">
        <w:rPr>
          <w:rFonts w:ascii="Times New Roman" w:hAnsi="Times New Roman" w:cs="Times New Roman"/>
          <w:sz w:val="26"/>
          <w:szCs w:val="26"/>
        </w:rPr>
        <w:t xml:space="preserve">and the FBI, presidential directives to DOE calling for new counterintelligence measures, </w:t>
      </w:r>
      <w:r w:rsidR="00AC1A15">
        <w:rPr>
          <w:rFonts w:ascii="Times New Roman" w:hAnsi="Times New Roman" w:cs="Times New Roman"/>
          <w:sz w:val="26"/>
          <w:szCs w:val="26"/>
        </w:rPr>
        <w:t xml:space="preserve">and </w:t>
      </w:r>
      <w:r w:rsidR="00787B6C">
        <w:rPr>
          <w:rFonts w:ascii="Times New Roman" w:hAnsi="Times New Roman" w:cs="Times New Roman"/>
          <w:sz w:val="26"/>
          <w:szCs w:val="26"/>
        </w:rPr>
        <w:t>congressional hearings</w:t>
      </w:r>
      <w:r w:rsidR="00C659A6">
        <w:rPr>
          <w:rFonts w:ascii="Times New Roman" w:hAnsi="Times New Roman" w:cs="Times New Roman"/>
          <w:sz w:val="26"/>
          <w:szCs w:val="26"/>
        </w:rPr>
        <w:t xml:space="preserve">. Those </w:t>
      </w:r>
      <w:r w:rsidR="00736D91">
        <w:rPr>
          <w:rFonts w:ascii="Times New Roman" w:hAnsi="Times New Roman" w:cs="Times New Roman"/>
          <w:sz w:val="26"/>
          <w:szCs w:val="26"/>
        </w:rPr>
        <w:t>examinations</w:t>
      </w:r>
      <w:r w:rsidR="008F2DB8">
        <w:rPr>
          <w:rFonts w:ascii="Times New Roman" w:hAnsi="Times New Roman" w:cs="Times New Roman"/>
          <w:sz w:val="26"/>
          <w:szCs w:val="26"/>
        </w:rPr>
        <w:t xml:space="preserve">  </w:t>
      </w:r>
      <w:r w:rsidR="00AC1A15">
        <w:rPr>
          <w:rFonts w:ascii="Times New Roman" w:hAnsi="Times New Roman" w:cs="Times New Roman"/>
          <w:sz w:val="26"/>
          <w:szCs w:val="26"/>
        </w:rPr>
        <w:t xml:space="preserve"> culminat</w:t>
      </w:r>
      <w:r w:rsidR="008E22CE">
        <w:rPr>
          <w:rFonts w:ascii="Times New Roman" w:hAnsi="Times New Roman" w:cs="Times New Roman"/>
          <w:sz w:val="26"/>
          <w:szCs w:val="26"/>
        </w:rPr>
        <w:t>ed</w:t>
      </w:r>
      <w:r w:rsidR="00AC1A15">
        <w:rPr>
          <w:rFonts w:ascii="Times New Roman" w:hAnsi="Times New Roman" w:cs="Times New Roman"/>
          <w:sz w:val="26"/>
          <w:szCs w:val="26"/>
        </w:rPr>
        <w:t xml:space="preserve"> in June 1999 with the release of a report by a Special Investigation Panel of the President’s Foreign Intelligence Advisory Board on security and counterintelligence problems at DOE (the Rudman Report) which depicted the Department as “[a] dysfunctional bureaucracy that has proven it is incapable of reforming itself” and strongly recommended that the weapons laboratories “</w:t>
      </w:r>
      <w:proofErr w:type="gramStart"/>
      <w:r w:rsidR="00AC1A15">
        <w:rPr>
          <w:rFonts w:ascii="Times New Roman" w:hAnsi="Times New Roman" w:cs="Times New Roman"/>
          <w:sz w:val="26"/>
          <w:szCs w:val="26"/>
        </w:rPr>
        <w:t xml:space="preserve">must  </w:t>
      </w:r>
      <w:r w:rsidR="008E22CE">
        <w:rPr>
          <w:rFonts w:ascii="Times New Roman" w:hAnsi="Times New Roman" w:cs="Times New Roman"/>
          <w:sz w:val="26"/>
          <w:szCs w:val="26"/>
        </w:rPr>
        <w:t>have</w:t>
      </w:r>
      <w:proofErr w:type="gramEnd"/>
      <w:r w:rsidR="008E22CE">
        <w:rPr>
          <w:rFonts w:ascii="Times New Roman" w:hAnsi="Times New Roman" w:cs="Times New Roman"/>
          <w:sz w:val="26"/>
          <w:szCs w:val="26"/>
        </w:rPr>
        <w:t xml:space="preserve"> </w:t>
      </w:r>
      <w:r w:rsidR="00AC1A15">
        <w:rPr>
          <w:rFonts w:ascii="Times New Roman" w:hAnsi="Times New Roman" w:cs="Times New Roman"/>
          <w:sz w:val="26"/>
          <w:szCs w:val="26"/>
        </w:rPr>
        <w:t xml:space="preserve">their own </w:t>
      </w:r>
      <w:r w:rsidR="00DA6925">
        <w:rPr>
          <w:rFonts w:ascii="Times New Roman" w:hAnsi="Times New Roman" w:cs="Times New Roman"/>
          <w:sz w:val="26"/>
          <w:szCs w:val="26"/>
        </w:rPr>
        <w:t>autonomous operational structure free of all other obligations imposed by DOE management.”</w:t>
      </w:r>
      <w:r w:rsidR="00DA6925">
        <w:rPr>
          <w:rStyle w:val="FootnoteReference"/>
          <w:rFonts w:ascii="Times New Roman" w:hAnsi="Times New Roman" w:cs="Times New Roman"/>
          <w:sz w:val="26"/>
          <w:szCs w:val="26"/>
        </w:rPr>
        <w:footnoteReference w:id="31"/>
      </w:r>
      <w:r w:rsidR="00AC1A15">
        <w:rPr>
          <w:rFonts w:ascii="Times New Roman" w:hAnsi="Times New Roman" w:cs="Times New Roman"/>
          <w:sz w:val="26"/>
          <w:szCs w:val="26"/>
        </w:rPr>
        <w:t xml:space="preserve"> </w:t>
      </w:r>
      <w:r w:rsidR="001521F6">
        <w:rPr>
          <w:rFonts w:ascii="Times New Roman" w:hAnsi="Times New Roman" w:cs="Times New Roman"/>
          <w:sz w:val="26"/>
          <w:szCs w:val="26"/>
        </w:rPr>
        <w:t xml:space="preserve">Congress adopted the essence of the Rudman Report’s restructuring </w:t>
      </w:r>
      <w:r w:rsidR="009E1823">
        <w:rPr>
          <w:rFonts w:ascii="Times New Roman" w:hAnsi="Times New Roman" w:cs="Times New Roman"/>
          <w:sz w:val="26"/>
          <w:szCs w:val="26"/>
        </w:rPr>
        <w:t xml:space="preserve">goals </w:t>
      </w:r>
      <w:r w:rsidR="002E7B6D">
        <w:rPr>
          <w:rFonts w:ascii="Times New Roman" w:hAnsi="Times New Roman" w:cs="Times New Roman"/>
          <w:sz w:val="26"/>
          <w:szCs w:val="26"/>
        </w:rPr>
        <w:t xml:space="preserve">and proposals </w:t>
      </w:r>
      <w:r w:rsidR="009E1823">
        <w:rPr>
          <w:rFonts w:ascii="Times New Roman" w:hAnsi="Times New Roman" w:cs="Times New Roman"/>
          <w:sz w:val="26"/>
          <w:szCs w:val="26"/>
        </w:rPr>
        <w:t xml:space="preserve">in its </w:t>
      </w:r>
      <w:r w:rsidR="002E7B6D">
        <w:rPr>
          <w:rFonts w:ascii="Times New Roman" w:hAnsi="Times New Roman" w:cs="Times New Roman"/>
          <w:sz w:val="26"/>
          <w:szCs w:val="26"/>
        </w:rPr>
        <w:t xml:space="preserve">passage </w:t>
      </w:r>
      <w:r w:rsidR="009E1823">
        <w:rPr>
          <w:rFonts w:ascii="Times New Roman" w:hAnsi="Times New Roman" w:cs="Times New Roman"/>
          <w:sz w:val="26"/>
          <w:szCs w:val="26"/>
        </w:rPr>
        <w:t xml:space="preserve">of Title 32 of the National </w:t>
      </w:r>
      <w:r w:rsidR="002E7B6D">
        <w:rPr>
          <w:rFonts w:ascii="Times New Roman" w:hAnsi="Times New Roman" w:cs="Times New Roman"/>
          <w:sz w:val="26"/>
          <w:szCs w:val="26"/>
        </w:rPr>
        <w:t xml:space="preserve">Defense </w:t>
      </w:r>
      <w:r w:rsidR="009E1823">
        <w:rPr>
          <w:rFonts w:ascii="Times New Roman" w:hAnsi="Times New Roman" w:cs="Times New Roman"/>
          <w:sz w:val="26"/>
          <w:szCs w:val="26"/>
        </w:rPr>
        <w:t>Authorization Act for FY 2000.</w:t>
      </w:r>
      <w:r w:rsidR="009E1823">
        <w:rPr>
          <w:rStyle w:val="FootnoteReference"/>
          <w:rFonts w:ascii="Times New Roman" w:hAnsi="Times New Roman" w:cs="Times New Roman"/>
          <w:sz w:val="26"/>
          <w:szCs w:val="26"/>
        </w:rPr>
        <w:footnoteReference w:id="32"/>
      </w:r>
      <w:r w:rsidR="00CF31B6">
        <w:rPr>
          <w:rFonts w:ascii="Times New Roman" w:hAnsi="Times New Roman" w:cs="Times New Roman"/>
          <w:sz w:val="26"/>
          <w:szCs w:val="26"/>
        </w:rPr>
        <w:t xml:space="preserve"> </w:t>
      </w:r>
    </w:p>
    <w:p w:rsidR="00E70D68" w:rsidRDefault="00E70D68" w:rsidP="00D067DB">
      <w:pPr>
        <w:spacing w:after="0" w:line="240" w:lineRule="auto"/>
        <w:rPr>
          <w:rFonts w:ascii="Times New Roman" w:hAnsi="Times New Roman" w:cs="Times New Roman"/>
          <w:sz w:val="26"/>
          <w:szCs w:val="26"/>
        </w:rPr>
      </w:pPr>
    </w:p>
    <w:p w:rsidR="00641992" w:rsidRDefault="00E70D68"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016CAD">
        <w:rPr>
          <w:rFonts w:ascii="Times New Roman" w:hAnsi="Times New Roman" w:cs="Times New Roman"/>
          <w:sz w:val="26"/>
          <w:szCs w:val="26"/>
        </w:rPr>
        <w:t>The legislation created a new, semi-autonomous agency within DOE, the National Nuclear Security Administration (NNSA)</w:t>
      </w:r>
      <w:proofErr w:type="gramStart"/>
      <w:r w:rsidR="00016CAD">
        <w:rPr>
          <w:rFonts w:ascii="Times New Roman" w:hAnsi="Times New Roman" w:cs="Times New Roman"/>
          <w:sz w:val="26"/>
          <w:szCs w:val="26"/>
        </w:rPr>
        <w:t>,  to</w:t>
      </w:r>
      <w:proofErr w:type="gramEnd"/>
      <w:r w:rsidR="00016CAD">
        <w:rPr>
          <w:rFonts w:ascii="Times New Roman" w:hAnsi="Times New Roman" w:cs="Times New Roman"/>
          <w:sz w:val="26"/>
          <w:szCs w:val="26"/>
        </w:rPr>
        <w:t xml:space="preserve"> be headed by an Administrator for Nuclear Security (who would also hold the title of Under Secretary of Nuclear Security) appointed by the President. </w:t>
      </w:r>
      <w:r w:rsidR="00A042D0">
        <w:rPr>
          <w:rFonts w:ascii="Times New Roman" w:hAnsi="Times New Roman" w:cs="Times New Roman"/>
          <w:sz w:val="26"/>
          <w:szCs w:val="26"/>
        </w:rPr>
        <w:t>Title 32 contained provisions to ensure insulation of NNSA from direct control by the Secretary</w:t>
      </w:r>
      <w:r w:rsidR="0040068B">
        <w:rPr>
          <w:rFonts w:ascii="Times New Roman" w:hAnsi="Times New Roman" w:cs="Times New Roman"/>
          <w:sz w:val="26"/>
          <w:szCs w:val="26"/>
        </w:rPr>
        <w:t xml:space="preserve"> </w:t>
      </w:r>
      <w:r w:rsidR="00A042D0">
        <w:rPr>
          <w:rFonts w:ascii="Times New Roman" w:hAnsi="Times New Roman" w:cs="Times New Roman"/>
          <w:sz w:val="26"/>
          <w:szCs w:val="26"/>
        </w:rPr>
        <w:t xml:space="preserve">or other DOE managers over management of its operations. These included barring DOE officials, other than the Secretary, from directing any NNSA officials or staff; specifying that </w:t>
      </w:r>
      <w:r w:rsidR="00F4456C">
        <w:rPr>
          <w:rFonts w:ascii="Times New Roman" w:hAnsi="Times New Roman" w:cs="Times New Roman"/>
          <w:sz w:val="26"/>
          <w:szCs w:val="26"/>
        </w:rPr>
        <w:t>the Secretary had to act through the Administrator in providing direction to the NNSA; prohibit</w:t>
      </w:r>
      <w:r>
        <w:rPr>
          <w:rFonts w:ascii="Times New Roman" w:hAnsi="Times New Roman" w:cs="Times New Roman"/>
          <w:sz w:val="26"/>
          <w:szCs w:val="26"/>
        </w:rPr>
        <w:t>ing</w:t>
      </w:r>
      <w:r w:rsidR="00F4456C">
        <w:rPr>
          <w:rFonts w:ascii="Times New Roman" w:hAnsi="Times New Roman" w:cs="Times New Roman"/>
          <w:sz w:val="26"/>
          <w:szCs w:val="26"/>
        </w:rPr>
        <w:t xml:space="preserve"> the Secretary from delegating any his authority over the Administrator to any one other the Deputy </w:t>
      </w:r>
      <w:r w:rsidR="00F4456C">
        <w:rPr>
          <w:rFonts w:ascii="Times New Roman" w:hAnsi="Times New Roman" w:cs="Times New Roman"/>
          <w:sz w:val="26"/>
          <w:szCs w:val="26"/>
        </w:rPr>
        <w:lastRenderedPageBreak/>
        <w:t>Secretary; and creat</w:t>
      </w:r>
      <w:r>
        <w:rPr>
          <w:rFonts w:ascii="Times New Roman" w:hAnsi="Times New Roman" w:cs="Times New Roman"/>
          <w:sz w:val="26"/>
          <w:szCs w:val="26"/>
        </w:rPr>
        <w:t>ing</w:t>
      </w:r>
      <w:r w:rsidR="00F4456C">
        <w:rPr>
          <w:rFonts w:ascii="Times New Roman" w:hAnsi="Times New Roman" w:cs="Times New Roman"/>
          <w:sz w:val="26"/>
          <w:szCs w:val="26"/>
        </w:rPr>
        <w:t xml:space="preserve"> NNSA executive </w:t>
      </w:r>
      <w:r w:rsidR="00641992">
        <w:rPr>
          <w:rFonts w:ascii="Times New Roman" w:hAnsi="Times New Roman" w:cs="Times New Roman"/>
          <w:sz w:val="26"/>
          <w:szCs w:val="26"/>
        </w:rPr>
        <w:t xml:space="preserve">and personnel </w:t>
      </w:r>
      <w:r w:rsidR="00F4456C">
        <w:rPr>
          <w:rFonts w:ascii="Times New Roman" w:hAnsi="Times New Roman" w:cs="Times New Roman"/>
          <w:sz w:val="26"/>
          <w:szCs w:val="26"/>
        </w:rPr>
        <w:t xml:space="preserve">management offices duplicative of comparable </w:t>
      </w:r>
      <w:r w:rsidR="00641992">
        <w:rPr>
          <w:rFonts w:ascii="Times New Roman" w:hAnsi="Times New Roman" w:cs="Times New Roman"/>
          <w:sz w:val="26"/>
          <w:szCs w:val="26"/>
        </w:rPr>
        <w:t>main DOE offices.</w:t>
      </w:r>
    </w:p>
    <w:p w:rsidR="00641992" w:rsidRDefault="00641992" w:rsidP="00D067DB">
      <w:pPr>
        <w:spacing w:after="0" w:line="240" w:lineRule="auto"/>
        <w:rPr>
          <w:rFonts w:ascii="Times New Roman" w:hAnsi="Times New Roman" w:cs="Times New Roman"/>
          <w:sz w:val="26"/>
          <w:szCs w:val="26"/>
        </w:rPr>
      </w:pPr>
    </w:p>
    <w:p w:rsidR="00050564" w:rsidRDefault="00641992"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In his signing statement of October 5, 1999,</w:t>
      </w:r>
      <w:r>
        <w:rPr>
          <w:rStyle w:val="FootnoteReference"/>
          <w:rFonts w:ascii="Times New Roman" w:hAnsi="Times New Roman" w:cs="Times New Roman"/>
          <w:sz w:val="26"/>
          <w:szCs w:val="26"/>
        </w:rPr>
        <w:footnoteReference w:id="33"/>
      </w:r>
      <w:r w:rsidR="00F4456C">
        <w:rPr>
          <w:rFonts w:ascii="Times New Roman" w:hAnsi="Times New Roman" w:cs="Times New Roman"/>
          <w:sz w:val="26"/>
          <w:szCs w:val="26"/>
        </w:rPr>
        <w:t xml:space="preserve"> </w:t>
      </w:r>
      <w:r w:rsidR="00E70D68">
        <w:rPr>
          <w:rFonts w:ascii="Times New Roman" w:hAnsi="Times New Roman" w:cs="Times New Roman"/>
          <w:sz w:val="26"/>
          <w:szCs w:val="26"/>
        </w:rPr>
        <w:t>P</w:t>
      </w:r>
      <w:r>
        <w:rPr>
          <w:rFonts w:ascii="Times New Roman" w:hAnsi="Times New Roman" w:cs="Times New Roman"/>
          <w:sz w:val="26"/>
          <w:szCs w:val="26"/>
        </w:rPr>
        <w:t xml:space="preserve">resident </w:t>
      </w:r>
      <w:r w:rsidR="00E70D68">
        <w:rPr>
          <w:rFonts w:ascii="Times New Roman" w:hAnsi="Times New Roman" w:cs="Times New Roman"/>
          <w:sz w:val="26"/>
          <w:szCs w:val="26"/>
        </w:rPr>
        <w:t xml:space="preserve">Clinton </w:t>
      </w:r>
      <w:r>
        <w:rPr>
          <w:rFonts w:ascii="Times New Roman" w:hAnsi="Times New Roman" w:cs="Times New Roman"/>
          <w:sz w:val="26"/>
          <w:szCs w:val="26"/>
        </w:rPr>
        <w:t>expressed misgivings with respect to the structural arrangements within the new agency and the limitations on the Secretary’s ability to direct and control the activities and personnel of the NNSA, but did not suggest that the legislation raised constitutional or other legal issues. In particular,</w:t>
      </w:r>
      <w:r w:rsidR="00B04770">
        <w:rPr>
          <w:rFonts w:ascii="Times New Roman" w:hAnsi="Times New Roman" w:cs="Times New Roman"/>
          <w:sz w:val="26"/>
          <w:szCs w:val="26"/>
        </w:rPr>
        <w:t xml:space="preserve"> </w:t>
      </w:r>
      <w:r>
        <w:rPr>
          <w:rFonts w:ascii="Times New Roman" w:hAnsi="Times New Roman" w:cs="Times New Roman"/>
          <w:sz w:val="26"/>
          <w:szCs w:val="26"/>
        </w:rPr>
        <w:t xml:space="preserve">the President objected to what he saw as the isolation of the personnel and </w:t>
      </w:r>
      <w:proofErr w:type="gramStart"/>
      <w:r>
        <w:rPr>
          <w:rFonts w:ascii="Times New Roman" w:hAnsi="Times New Roman" w:cs="Times New Roman"/>
          <w:sz w:val="26"/>
          <w:szCs w:val="26"/>
        </w:rPr>
        <w:t>contractors  of</w:t>
      </w:r>
      <w:proofErr w:type="gramEnd"/>
      <w:r>
        <w:rPr>
          <w:rFonts w:ascii="Times New Roman" w:hAnsi="Times New Roman" w:cs="Times New Roman"/>
          <w:sz w:val="26"/>
          <w:szCs w:val="26"/>
        </w:rPr>
        <w:t xml:space="preserve"> the </w:t>
      </w:r>
      <w:r w:rsidR="00B04770">
        <w:rPr>
          <w:rFonts w:ascii="Times New Roman" w:hAnsi="Times New Roman" w:cs="Times New Roman"/>
          <w:sz w:val="26"/>
          <w:szCs w:val="26"/>
        </w:rPr>
        <w:t xml:space="preserve">NNSA </w:t>
      </w:r>
      <w:r w:rsidR="00585961">
        <w:rPr>
          <w:rFonts w:ascii="Times New Roman" w:hAnsi="Times New Roman" w:cs="Times New Roman"/>
          <w:sz w:val="26"/>
          <w:szCs w:val="26"/>
        </w:rPr>
        <w:t xml:space="preserve">from </w:t>
      </w:r>
      <w:r w:rsidR="00B04770">
        <w:rPr>
          <w:rFonts w:ascii="Times New Roman" w:hAnsi="Times New Roman" w:cs="Times New Roman"/>
          <w:sz w:val="26"/>
          <w:szCs w:val="26"/>
        </w:rPr>
        <w:t>direction by</w:t>
      </w:r>
      <w:r>
        <w:rPr>
          <w:rFonts w:ascii="Times New Roman" w:hAnsi="Times New Roman" w:cs="Times New Roman"/>
          <w:sz w:val="26"/>
          <w:szCs w:val="26"/>
        </w:rPr>
        <w:t xml:space="preserve"> Department officials </w:t>
      </w:r>
      <w:r w:rsidR="00B04770">
        <w:rPr>
          <w:rFonts w:ascii="Times New Roman" w:hAnsi="Times New Roman" w:cs="Times New Roman"/>
          <w:sz w:val="26"/>
          <w:szCs w:val="26"/>
        </w:rPr>
        <w:t xml:space="preserve">outside the new agency; the limitation on the Secretary’s ability to employ his statutory authorities  to direct the activities and personnel of the NNSA both personally and through designated subordinates; the </w:t>
      </w:r>
      <w:r w:rsidR="00050564">
        <w:rPr>
          <w:rFonts w:ascii="Times New Roman" w:hAnsi="Times New Roman" w:cs="Times New Roman"/>
          <w:sz w:val="26"/>
          <w:szCs w:val="26"/>
        </w:rPr>
        <w:t>removal of the Secretary’s direct authority over certain sensitive classified programs;</w:t>
      </w:r>
      <w:r w:rsidR="00E70D68">
        <w:rPr>
          <w:rFonts w:ascii="Times New Roman" w:hAnsi="Times New Roman" w:cs="Times New Roman"/>
          <w:sz w:val="26"/>
          <w:szCs w:val="26"/>
        </w:rPr>
        <w:t xml:space="preserve"> </w:t>
      </w:r>
      <w:r w:rsidR="00050564">
        <w:rPr>
          <w:rFonts w:ascii="Times New Roman" w:hAnsi="Times New Roman" w:cs="Times New Roman"/>
          <w:sz w:val="26"/>
          <w:szCs w:val="26"/>
        </w:rPr>
        <w:t>and the potentially deleterious effect of creating  redundant  support functions in the areas of procurement , personnel, public affairs , legal affairs, security, and counterintelligence.</w:t>
      </w:r>
    </w:p>
    <w:p w:rsidR="00050564" w:rsidRDefault="00050564" w:rsidP="00D067DB">
      <w:pPr>
        <w:spacing w:after="0" w:line="240" w:lineRule="auto"/>
        <w:rPr>
          <w:rFonts w:ascii="Times New Roman" w:hAnsi="Times New Roman" w:cs="Times New Roman"/>
          <w:sz w:val="26"/>
          <w:szCs w:val="26"/>
        </w:rPr>
      </w:pPr>
    </w:p>
    <w:p w:rsidR="00A93007" w:rsidRDefault="00050564"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To ensure that these perceived deficiencies did not, in his view, undermine the Secretary’s statutory responsibilities in the area, the President directed the Secretary assume the </w:t>
      </w:r>
      <w:proofErr w:type="gramStart"/>
      <w:r>
        <w:rPr>
          <w:rFonts w:ascii="Times New Roman" w:hAnsi="Times New Roman" w:cs="Times New Roman"/>
          <w:sz w:val="26"/>
          <w:szCs w:val="26"/>
        </w:rPr>
        <w:t>duties  and</w:t>
      </w:r>
      <w:proofErr w:type="gramEnd"/>
      <w:r>
        <w:rPr>
          <w:rFonts w:ascii="Times New Roman" w:hAnsi="Times New Roman" w:cs="Times New Roman"/>
          <w:sz w:val="26"/>
          <w:szCs w:val="26"/>
        </w:rPr>
        <w:t xml:space="preserve"> functions of the new office</w:t>
      </w:r>
      <w:r w:rsidR="00DD290F">
        <w:rPr>
          <w:rFonts w:ascii="Times New Roman" w:hAnsi="Times New Roman" w:cs="Times New Roman"/>
          <w:sz w:val="26"/>
          <w:szCs w:val="26"/>
        </w:rPr>
        <w:t xml:space="preserve"> </w:t>
      </w:r>
      <w:r w:rsidR="00DE27AF">
        <w:rPr>
          <w:rFonts w:ascii="Times New Roman" w:hAnsi="Times New Roman" w:cs="Times New Roman"/>
          <w:sz w:val="26"/>
          <w:szCs w:val="26"/>
        </w:rPr>
        <w:t xml:space="preserve">of </w:t>
      </w:r>
      <w:r w:rsidR="00DD290F">
        <w:rPr>
          <w:rFonts w:ascii="Times New Roman" w:hAnsi="Times New Roman" w:cs="Times New Roman"/>
          <w:sz w:val="26"/>
          <w:szCs w:val="26"/>
        </w:rPr>
        <w:t xml:space="preserve">Under Secretary for Nuclear Security and to “guide and direct” all NNSA personal by using his authority, “to the extent permitted by law,” to assign (i.e., “dual hat”) departmental officers and employees to concurrent offices within NNSA. The Secretary was also directed to “mitigate” the risks to the chain of command between him and subordinate agency </w:t>
      </w:r>
      <w:proofErr w:type="gramStart"/>
      <w:r w:rsidR="00DD290F">
        <w:rPr>
          <w:rFonts w:ascii="Times New Roman" w:hAnsi="Times New Roman" w:cs="Times New Roman"/>
          <w:sz w:val="26"/>
          <w:szCs w:val="26"/>
        </w:rPr>
        <w:t>personnel  presented</w:t>
      </w:r>
      <w:proofErr w:type="gramEnd"/>
      <w:r w:rsidR="00DD290F">
        <w:rPr>
          <w:rFonts w:ascii="Times New Roman" w:hAnsi="Times New Roman" w:cs="Times New Roman"/>
          <w:sz w:val="26"/>
          <w:szCs w:val="26"/>
        </w:rPr>
        <w:t xml:space="preserve"> by the legislation’s redundant functions “to the extent permissible under law.” The President indicated</w:t>
      </w:r>
      <w:r w:rsidR="00A93007">
        <w:rPr>
          <w:rFonts w:ascii="Times New Roman" w:hAnsi="Times New Roman" w:cs="Times New Roman"/>
          <w:sz w:val="26"/>
          <w:szCs w:val="26"/>
        </w:rPr>
        <w:t xml:space="preserve"> he might not submit a nomination for </w:t>
      </w:r>
      <w:proofErr w:type="gramStart"/>
      <w:r w:rsidR="00A93007">
        <w:rPr>
          <w:rFonts w:ascii="Times New Roman" w:hAnsi="Times New Roman" w:cs="Times New Roman"/>
          <w:sz w:val="26"/>
          <w:szCs w:val="26"/>
        </w:rPr>
        <w:t>the a</w:t>
      </w:r>
      <w:proofErr w:type="gramEnd"/>
      <w:r w:rsidR="00A93007">
        <w:rPr>
          <w:rFonts w:ascii="Times New Roman" w:hAnsi="Times New Roman" w:cs="Times New Roman"/>
          <w:sz w:val="26"/>
          <w:szCs w:val="26"/>
        </w:rPr>
        <w:t xml:space="preserve"> new Administrator until action was taken by Congress to remedy the identified deficiencies and to “harmonize</w:t>
      </w:r>
      <w:r w:rsidR="00E70D68">
        <w:rPr>
          <w:rFonts w:ascii="Times New Roman" w:hAnsi="Times New Roman" w:cs="Times New Roman"/>
          <w:sz w:val="26"/>
          <w:szCs w:val="26"/>
        </w:rPr>
        <w:t>”</w:t>
      </w:r>
      <w:r w:rsidR="00A93007">
        <w:rPr>
          <w:rFonts w:ascii="Times New Roman" w:hAnsi="Times New Roman" w:cs="Times New Roman"/>
          <w:sz w:val="26"/>
          <w:szCs w:val="26"/>
        </w:rPr>
        <w:t xml:space="preserve"> the Secretary’s authorities with those vested in the Under Secretary/Administrator. </w:t>
      </w:r>
    </w:p>
    <w:p w:rsidR="00A93007" w:rsidRDefault="00A93007" w:rsidP="00D067DB">
      <w:pPr>
        <w:spacing w:after="0" w:line="240" w:lineRule="auto"/>
        <w:rPr>
          <w:rFonts w:ascii="Times New Roman" w:hAnsi="Times New Roman" w:cs="Times New Roman"/>
          <w:sz w:val="26"/>
          <w:szCs w:val="26"/>
        </w:rPr>
      </w:pPr>
    </w:p>
    <w:p w:rsidR="007D2921" w:rsidRDefault="00A93007"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The Secretary complied with the presidential directions by filling18 NNSA positions </w:t>
      </w:r>
      <w:proofErr w:type="gramStart"/>
      <w:r>
        <w:rPr>
          <w:rFonts w:ascii="Times New Roman" w:hAnsi="Times New Roman" w:cs="Times New Roman"/>
          <w:sz w:val="26"/>
          <w:szCs w:val="26"/>
        </w:rPr>
        <w:t xml:space="preserve">with </w:t>
      </w:r>
      <w:r w:rsidR="008E3E45">
        <w:rPr>
          <w:rFonts w:ascii="Times New Roman" w:hAnsi="Times New Roman" w:cs="Times New Roman"/>
          <w:sz w:val="26"/>
          <w:szCs w:val="26"/>
        </w:rPr>
        <w:t xml:space="preserve"> main</w:t>
      </w:r>
      <w:proofErr w:type="gramEnd"/>
      <w:r w:rsidR="008E3E45">
        <w:rPr>
          <w:rFonts w:ascii="Times New Roman" w:hAnsi="Times New Roman" w:cs="Times New Roman"/>
          <w:sz w:val="26"/>
          <w:szCs w:val="26"/>
        </w:rPr>
        <w:t xml:space="preserve"> DOE officials and suggested that he would</w:t>
      </w:r>
      <w:r w:rsidR="00050564">
        <w:rPr>
          <w:rFonts w:ascii="Times New Roman" w:hAnsi="Times New Roman" w:cs="Times New Roman"/>
          <w:sz w:val="26"/>
          <w:szCs w:val="26"/>
        </w:rPr>
        <w:t xml:space="preserve"> </w:t>
      </w:r>
      <w:r w:rsidR="008E3E45">
        <w:rPr>
          <w:rFonts w:ascii="Times New Roman" w:hAnsi="Times New Roman" w:cs="Times New Roman"/>
          <w:sz w:val="26"/>
          <w:szCs w:val="26"/>
        </w:rPr>
        <w:t>continue such “dual hatting”  indefinitely. He also attempted to integrate the NNSA into the Department</w:t>
      </w:r>
      <w:r w:rsidR="00E70D68">
        <w:rPr>
          <w:rFonts w:ascii="Times New Roman" w:hAnsi="Times New Roman" w:cs="Times New Roman"/>
          <w:sz w:val="26"/>
          <w:szCs w:val="26"/>
        </w:rPr>
        <w:t>’</w:t>
      </w:r>
      <w:r w:rsidR="008E3E45">
        <w:rPr>
          <w:rFonts w:ascii="Times New Roman" w:hAnsi="Times New Roman" w:cs="Times New Roman"/>
          <w:sz w:val="26"/>
          <w:szCs w:val="26"/>
        </w:rPr>
        <w:t xml:space="preserve">s much criticized organizational structures and management practices through exercise of his statutory reorganization powers. The President delayed nomination of an </w:t>
      </w:r>
      <w:r w:rsidR="00A41C78">
        <w:rPr>
          <w:rFonts w:ascii="Times New Roman" w:hAnsi="Times New Roman" w:cs="Times New Roman"/>
          <w:sz w:val="26"/>
          <w:szCs w:val="26"/>
        </w:rPr>
        <w:t xml:space="preserve">Administrator </w:t>
      </w:r>
      <w:r w:rsidR="008E3E45">
        <w:rPr>
          <w:rFonts w:ascii="Times New Roman" w:hAnsi="Times New Roman" w:cs="Times New Roman"/>
          <w:sz w:val="26"/>
          <w:szCs w:val="26"/>
        </w:rPr>
        <w:t xml:space="preserve">until May 2000 but a confirmation vote was blocked over the issue </w:t>
      </w:r>
      <w:r w:rsidR="00A41C78">
        <w:rPr>
          <w:rFonts w:ascii="Times New Roman" w:hAnsi="Times New Roman" w:cs="Times New Roman"/>
          <w:sz w:val="26"/>
          <w:szCs w:val="26"/>
        </w:rPr>
        <w:t>of the refusal of the nominee</w:t>
      </w:r>
      <w:r w:rsidR="00305118">
        <w:rPr>
          <w:rFonts w:ascii="Times New Roman" w:hAnsi="Times New Roman" w:cs="Times New Roman"/>
          <w:sz w:val="26"/>
          <w:szCs w:val="26"/>
        </w:rPr>
        <w:t xml:space="preserve">, at the direction of the Secretary, </w:t>
      </w:r>
      <w:r w:rsidR="00A41C78">
        <w:rPr>
          <w:rFonts w:ascii="Times New Roman" w:hAnsi="Times New Roman" w:cs="Times New Roman"/>
          <w:sz w:val="26"/>
          <w:szCs w:val="26"/>
        </w:rPr>
        <w:t xml:space="preserve">to discontinue the practice </w:t>
      </w:r>
      <w:r w:rsidR="00357FC3">
        <w:rPr>
          <w:rFonts w:ascii="Times New Roman" w:hAnsi="Times New Roman" w:cs="Times New Roman"/>
          <w:sz w:val="26"/>
          <w:szCs w:val="26"/>
        </w:rPr>
        <w:t xml:space="preserve">of </w:t>
      </w:r>
      <w:r w:rsidR="00A41C78">
        <w:rPr>
          <w:rFonts w:ascii="Times New Roman" w:hAnsi="Times New Roman" w:cs="Times New Roman"/>
          <w:sz w:val="26"/>
          <w:szCs w:val="26"/>
        </w:rPr>
        <w:t xml:space="preserve">dual hatting. Congressional </w:t>
      </w:r>
      <w:proofErr w:type="gramStart"/>
      <w:r w:rsidR="00A41C78">
        <w:rPr>
          <w:rFonts w:ascii="Times New Roman" w:hAnsi="Times New Roman" w:cs="Times New Roman"/>
          <w:sz w:val="26"/>
          <w:szCs w:val="26"/>
        </w:rPr>
        <w:t>hearings  critically</w:t>
      </w:r>
      <w:proofErr w:type="gramEnd"/>
      <w:r w:rsidR="00A41C78">
        <w:rPr>
          <w:rFonts w:ascii="Times New Roman" w:hAnsi="Times New Roman" w:cs="Times New Roman"/>
          <w:sz w:val="26"/>
          <w:szCs w:val="26"/>
        </w:rPr>
        <w:t xml:space="preserve"> highlighted that these practices served to undermine </w:t>
      </w:r>
      <w:r w:rsidR="00442AF6">
        <w:rPr>
          <w:rFonts w:ascii="Times New Roman" w:hAnsi="Times New Roman" w:cs="Times New Roman"/>
          <w:sz w:val="26"/>
          <w:szCs w:val="26"/>
        </w:rPr>
        <w:t>NNSA’s intended autonomy, blur lines of authority, overburden individual officials and avoided the essential reforms of the Department’s structures and practices</w:t>
      </w:r>
      <w:r w:rsidR="00A41C78">
        <w:rPr>
          <w:rFonts w:ascii="Times New Roman" w:hAnsi="Times New Roman" w:cs="Times New Roman"/>
          <w:sz w:val="26"/>
          <w:szCs w:val="26"/>
        </w:rPr>
        <w:t xml:space="preserve"> </w:t>
      </w:r>
      <w:r w:rsidR="00442AF6">
        <w:rPr>
          <w:rFonts w:ascii="Times New Roman" w:hAnsi="Times New Roman" w:cs="Times New Roman"/>
          <w:sz w:val="26"/>
          <w:szCs w:val="26"/>
        </w:rPr>
        <w:t>that impelled passage of the legislation.</w:t>
      </w:r>
      <w:r w:rsidR="00442AF6">
        <w:rPr>
          <w:rStyle w:val="FootnoteReference"/>
          <w:rFonts w:ascii="Times New Roman" w:hAnsi="Times New Roman" w:cs="Times New Roman"/>
          <w:sz w:val="26"/>
          <w:szCs w:val="26"/>
        </w:rPr>
        <w:footnoteReference w:id="34"/>
      </w:r>
      <w:r w:rsidR="00A41C78">
        <w:rPr>
          <w:rFonts w:ascii="Times New Roman" w:hAnsi="Times New Roman" w:cs="Times New Roman"/>
          <w:sz w:val="26"/>
          <w:szCs w:val="26"/>
        </w:rPr>
        <w:t xml:space="preserve"> </w:t>
      </w:r>
      <w:r w:rsidR="00566A6C">
        <w:rPr>
          <w:rFonts w:ascii="Times New Roman" w:hAnsi="Times New Roman" w:cs="Times New Roman"/>
          <w:sz w:val="26"/>
          <w:szCs w:val="26"/>
        </w:rPr>
        <w:t xml:space="preserve">The hearings made it clear that it was understood that </w:t>
      </w:r>
      <w:r w:rsidR="007D2921">
        <w:rPr>
          <w:rFonts w:ascii="Times New Roman" w:hAnsi="Times New Roman" w:cs="Times New Roman"/>
          <w:sz w:val="26"/>
          <w:szCs w:val="26"/>
        </w:rPr>
        <w:t xml:space="preserve">congressional </w:t>
      </w:r>
      <w:r w:rsidR="00566A6C">
        <w:rPr>
          <w:rFonts w:ascii="Times New Roman" w:hAnsi="Times New Roman" w:cs="Times New Roman"/>
          <w:sz w:val="26"/>
          <w:szCs w:val="26"/>
        </w:rPr>
        <w:t>legal action to force a nomination was unavailable.</w:t>
      </w:r>
      <w:r w:rsidR="00566A6C">
        <w:rPr>
          <w:rStyle w:val="FootnoteReference"/>
          <w:rFonts w:ascii="Times New Roman" w:hAnsi="Times New Roman" w:cs="Times New Roman"/>
          <w:sz w:val="26"/>
          <w:szCs w:val="26"/>
        </w:rPr>
        <w:footnoteReference w:id="35"/>
      </w:r>
      <w:r w:rsidR="00A41C78">
        <w:rPr>
          <w:rFonts w:ascii="Times New Roman" w:hAnsi="Times New Roman" w:cs="Times New Roman"/>
          <w:sz w:val="26"/>
          <w:szCs w:val="26"/>
        </w:rPr>
        <w:t xml:space="preserve"> </w:t>
      </w:r>
    </w:p>
    <w:p w:rsidR="007D2921" w:rsidRDefault="007D2921" w:rsidP="00D067DB">
      <w:pPr>
        <w:spacing w:after="0" w:line="240" w:lineRule="auto"/>
        <w:rPr>
          <w:rFonts w:ascii="Times New Roman" w:hAnsi="Times New Roman" w:cs="Times New Roman"/>
          <w:sz w:val="26"/>
          <w:szCs w:val="26"/>
        </w:rPr>
      </w:pPr>
    </w:p>
    <w:p w:rsidR="001C44EA" w:rsidRDefault="007D2921"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w:t>
      </w:r>
      <w:r w:rsidR="00FE58F8">
        <w:rPr>
          <w:rFonts w:ascii="Times New Roman" w:hAnsi="Times New Roman" w:cs="Times New Roman"/>
          <w:sz w:val="26"/>
          <w:szCs w:val="26"/>
        </w:rPr>
        <w:t xml:space="preserve">The impasse was resolved in June 2000 by the </w:t>
      </w:r>
      <w:r w:rsidR="00672F7F">
        <w:rPr>
          <w:rFonts w:ascii="Times New Roman" w:hAnsi="Times New Roman" w:cs="Times New Roman"/>
          <w:sz w:val="26"/>
          <w:szCs w:val="26"/>
        </w:rPr>
        <w:t xml:space="preserve">public </w:t>
      </w:r>
      <w:r w:rsidR="00FE58F8">
        <w:rPr>
          <w:rFonts w:ascii="Times New Roman" w:hAnsi="Times New Roman" w:cs="Times New Roman"/>
          <w:sz w:val="26"/>
          <w:szCs w:val="26"/>
        </w:rPr>
        <w:t>exposure of another security breach</w:t>
      </w:r>
      <w:r w:rsidR="005F0892">
        <w:rPr>
          <w:rFonts w:ascii="Times New Roman" w:hAnsi="Times New Roman" w:cs="Times New Roman"/>
          <w:sz w:val="26"/>
          <w:szCs w:val="26"/>
        </w:rPr>
        <w:t xml:space="preserve"> at a nuclear laboratory</w:t>
      </w:r>
      <w:r w:rsidR="00FE58F8">
        <w:rPr>
          <w:rFonts w:ascii="Times New Roman" w:hAnsi="Times New Roman" w:cs="Times New Roman"/>
          <w:sz w:val="26"/>
          <w:szCs w:val="26"/>
        </w:rPr>
        <w:t xml:space="preserve">. The Secretary, facing renewed congressional criticism for the breach and for having impeded the </w:t>
      </w:r>
      <w:r w:rsidR="005F0892">
        <w:rPr>
          <w:rFonts w:ascii="Times New Roman" w:hAnsi="Times New Roman" w:cs="Times New Roman"/>
          <w:sz w:val="26"/>
          <w:szCs w:val="26"/>
        </w:rPr>
        <w:t xml:space="preserve">effectuation of </w:t>
      </w:r>
      <w:r w:rsidR="00FE58F8">
        <w:rPr>
          <w:rFonts w:ascii="Times New Roman" w:hAnsi="Times New Roman" w:cs="Times New Roman"/>
          <w:sz w:val="26"/>
          <w:szCs w:val="26"/>
        </w:rPr>
        <w:t>NNSA’s autonomy, retreated from his dual hatting policy</w:t>
      </w:r>
      <w:r w:rsidR="0073687D">
        <w:rPr>
          <w:rFonts w:ascii="Times New Roman" w:hAnsi="Times New Roman" w:cs="Times New Roman"/>
          <w:sz w:val="26"/>
          <w:szCs w:val="26"/>
        </w:rPr>
        <w:t>,</w:t>
      </w:r>
      <w:r w:rsidR="00FE58F8">
        <w:rPr>
          <w:rFonts w:ascii="Times New Roman" w:hAnsi="Times New Roman" w:cs="Times New Roman"/>
          <w:sz w:val="26"/>
          <w:szCs w:val="26"/>
        </w:rPr>
        <w:t xml:space="preserve"> which </w:t>
      </w:r>
      <w:r w:rsidR="00DB0008">
        <w:rPr>
          <w:rFonts w:ascii="Times New Roman" w:hAnsi="Times New Roman" w:cs="Times New Roman"/>
          <w:sz w:val="26"/>
          <w:szCs w:val="26"/>
        </w:rPr>
        <w:t>faci</w:t>
      </w:r>
      <w:r w:rsidR="00357FC3">
        <w:rPr>
          <w:rFonts w:ascii="Times New Roman" w:hAnsi="Times New Roman" w:cs="Times New Roman"/>
          <w:sz w:val="26"/>
          <w:szCs w:val="26"/>
        </w:rPr>
        <w:t>l</w:t>
      </w:r>
      <w:r w:rsidR="00DB0008">
        <w:rPr>
          <w:rFonts w:ascii="Times New Roman" w:hAnsi="Times New Roman" w:cs="Times New Roman"/>
          <w:sz w:val="26"/>
          <w:szCs w:val="26"/>
        </w:rPr>
        <w:t>itated</w:t>
      </w:r>
      <w:r w:rsidR="00FE58F8">
        <w:rPr>
          <w:rFonts w:ascii="Times New Roman" w:hAnsi="Times New Roman" w:cs="Times New Roman"/>
          <w:sz w:val="26"/>
          <w:szCs w:val="26"/>
        </w:rPr>
        <w:t xml:space="preserve"> </w:t>
      </w:r>
      <w:r w:rsidR="005F0892">
        <w:rPr>
          <w:rFonts w:ascii="Times New Roman" w:hAnsi="Times New Roman" w:cs="Times New Roman"/>
          <w:sz w:val="26"/>
          <w:szCs w:val="26"/>
        </w:rPr>
        <w:t xml:space="preserve">the </w:t>
      </w:r>
      <w:r w:rsidR="00FE58F8">
        <w:rPr>
          <w:rFonts w:ascii="Times New Roman" w:hAnsi="Times New Roman" w:cs="Times New Roman"/>
          <w:sz w:val="26"/>
          <w:szCs w:val="26"/>
        </w:rPr>
        <w:t xml:space="preserve">confirmation of the first Administrator. Congress quickly followed up with passage of legislation that </w:t>
      </w:r>
      <w:r w:rsidR="005F0892">
        <w:rPr>
          <w:rFonts w:ascii="Times New Roman" w:hAnsi="Times New Roman" w:cs="Times New Roman"/>
          <w:sz w:val="26"/>
          <w:szCs w:val="26"/>
        </w:rPr>
        <w:t>(1) explicitly prohibited dual hatting at NNSA; (2) made the Secretary’s statutory reorganization authority</w:t>
      </w:r>
      <w:r w:rsidR="00DB0008">
        <w:rPr>
          <w:rFonts w:ascii="Times New Roman" w:hAnsi="Times New Roman" w:cs="Times New Roman"/>
          <w:sz w:val="26"/>
          <w:szCs w:val="26"/>
        </w:rPr>
        <w:t xml:space="preserve"> inapplicable to NNSA</w:t>
      </w:r>
      <w:r w:rsidR="005F0892">
        <w:rPr>
          <w:rFonts w:ascii="Times New Roman" w:hAnsi="Times New Roman" w:cs="Times New Roman"/>
          <w:sz w:val="26"/>
          <w:szCs w:val="26"/>
        </w:rPr>
        <w:t>; and (3) limited at-will presidential removal of the Administrator except for cause for three years from the date of his confirmation.</w:t>
      </w:r>
      <w:r w:rsidR="005F0892">
        <w:rPr>
          <w:rStyle w:val="FootnoteReference"/>
          <w:rFonts w:ascii="Times New Roman" w:hAnsi="Times New Roman" w:cs="Times New Roman"/>
          <w:sz w:val="26"/>
          <w:szCs w:val="26"/>
        </w:rPr>
        <w:footnoteReference w:id="36"/>
      </w:r>
      <w:r w:rsidR="005F0892">
        <w:rPr>
          <w:rFonts w:ascii="Times New Roman" w:hAnsi="Times New Roman" w:cs="Times New Roman"/>
          <w:sz w:val="26"/>
          <w:szCs w:val="26"/>
        </w:rPr>
        <w:t xml:space="preserve"> </w:t>
      </w:r>
    </w:p>
    <w:p w:rsidR="00544E21" w:rsidRDefault="00544E21" w:rsidP="00D067DB">
      <w:pPr>
        <w:spacing w:after="0" w:line="240" w:lineRule="auto"/>
        <w:rPr>
          <w:rFonts w:ascii="Times New Roman" w:hAnsi="Times New Roman" w:cs="Times New Roman"/>
          <w:sz w:val="26"/>
          <w:szCs w:val="26"/>
        </w:rPr>
      </w:pPr>
    </w:p>
    <w:p w:rsidR="00544E21" w:rsidRPr="00544E21" w:rsidRDefault="00544E21" w:rsidP="00544E21">
      <w:pPr>
        <w:pStyle w:val="ListParagraph"/>
        <w:numPr>
          <w:ilvl w:val="0"/>
          <w:numId w:val="17"/>
        </w:numPr>
        <w:spacing w:after="0" w:line="240" w:lineRule="auto"/>
        <w:rPr>
          <w:rFonts w:ascii="Times New Roman" w:hAnsi="Times New Roman" w:cs="Times New Roman"/>
          <w:i/>
          <w:sz w:val="26"/>
          <w:szCs w:val="26"/>
        </w:rPr>
      </w:pPr>
      <w:r>
        <w:rPr>
          <w:rFonts w:ascii="Times New Roman" w:hAnsi="Times New Roman" w:cs="Times New Roman"/>
          <w:i/>
          <w:sz w:val="26"/>
          <w:szCs w:val="26"/>
        </w:rPr>
        <w:t>President Obama’s Failure to Nominate Inspectors General to Existing Vacant Positions (2009-2012)</w:t>
      </w:r>
    </w:p>
    <w:p w:rsidR="00544E21" w:rsidRDefault="00544E21" w:rsidP="00D067DB">
      <w:pPr>
        <w:spacing w:after="0" w:line="240" w:lineRule="auto"/>
        <w:rPr>
          <w:rFonts w:ascii="Times New Roman" w:hAnsi="Times New Roman" w:cs="Times New Roman"/>
          <w:sz w:val="26"/>
          <w:szCs w:val="26"/>
        </w:rPr>
      </w:pPr>
    </w:p>
    <w:p w:rsidR="00305118" w:rsidRDefault="00544E21"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A recent congressional hearing</w:t>
      </w:r>
      <w:r w:rsidR="002B3688">
        <w:rPr>
          <w:rStyle w:val="FootnoteReference"/>
          <w:rFonts w:ascii="Times New Roman" w:hAnsi="Times New Roman" w:cs="Times New Roman"/>
          <w:sz w:val="26"/>
          <w:szCs w:val="26"/>
        </w:rPr>
        <w:footnoteReference w:id="37"/>
      </w:r>
      <w:r>
        <w:rPr>
          <w:rFonts w:ascii="Times New Roman" w:hAnsi="Times New Roman" w:cs="Times New Roman"/>
          <w:sz w:val="26"/>
          <w:szCs w:val="26"/>
        </w:rPr>
        <w:t xml:space="preserve"> has revealed that as of May </w:t>
      </w:r>
      <w:proofErr w:type="gramStart"/>
      <w:r>
        <w:rPr>
          <w:rFonts w:ascii="Times New Roman" w:hAnsi="Times New Roman" w:cs="Times New Roman"/>
          <w:sz w:val="26"/>
          <w:szCs w:val="26"/>
        </w:rPr>
        <w:t>2012 ,</w:t>
      </w:r>
      <w:proofErr w:type="gramEnd"/>
      <w:r>
        <w:rPr>
          <w:rFonts w:ascii="Times New Roman" w:hAnsi="Times New Roman" w:cs="Times New Roman"/>
          <w:sz w:val="26"/>
          <w:szCs w:val="26"/>
        </w:rPr>
        <w:t xml:space="preserve"> 10 of 73 statutory inspector general (IG) positions were vacant. Of those 10 vacancies, </w:t>
      </w:r>
      <w:r w:rsidR="002B3688">
        <w:rPr>
          <w:rFonts w:ascii="Times New Roman" w:hAnsi="Times New Roman" w:cs="Times New Roman"/>
          <w:sz w:val="26"/>
          <w:szCs w:val="26"/>
        </w:rPr>
        <w:t>7</w:t>
      </w:r>
      <w:r>
        <w:rPr>
          <w:rFonts w:ascii="Times New Roman" w:hAnsi="Times New Roman" w:cs="Times New Roman"/>
          <w:sz w:val="26"/>
          <w:szCs w:val="26"/>
        </w:rPr>
        <w:t xml:space="preserve"> require</w:t>
      </w:r>
      <w:r w:rsidR="002B3688">
        <w:rPr>
          <w:rFonts w:ascii="Times New Roman" w:hAnsi="Times New Roman" w:cs="Times New Roman"/>
          <w:sz w:val="26"/>
          <w:szCs w:val="26"/>
        </w:rPr>
        <w:t xml:space="preserve"> nomination by the President and Senate confirmation</w:t>
      </w:r>
      <w:r w:rsidR="00CB6E44">
        <w:rPr>
          <w:rFonts w:ascii="Times New Roman" w:hAnsi="Times New Roman" w:cs="Times New Roman"/>
          <w:sz w:val="26"/>
          <w:szCs w:val="26"/>
        </w:rPr>
        <w:t>, but only 2 have nominees pending confirmation.</w:t>
      </w:r>
      <w:r w:rsidR="00CB6E44">
        <w:rPr>
          <w:rStyle w:val="FootnoteReference"/>
          <w:rFonts w:ascii="Times New Roman" w:hAnsi="Times New Roman" w:cs="Times New Roman"/>
          <w:sz w:val="26"/>
          <w:szCs w:val="26"/>
        </w:rPr>
        <w:footnoteReference w:id="38"/>
      </w:r>
      <w:r>
        <w:rPr>
          <w:rFonts w:ascii="Times New Roman" w:hAnsi="Times New Roman" w:cs="Times New Roman"/>
          <w:sz w:val="26"/>
          <w:szCs w:val="26"/>
        </w:rPr>
        <w:t xml:space="preserve"> </w:t>
      </w:r>
      <w:r w:rsidR="00CB6E44">
        <w:rPr>
          <w:rFonts w:ascii="Times New Roman" w:hAnsi="Times New Roman" w:cs="Times New Roman"/>
          <w:sz w:val="26"/>
          <w:szCs w:val="26"/>
        </w:rPr>
        <w:t xml:space="preserve">The longest vacancy </w:t>
      </w:r>
      <w:r w:rsidR="00B160A7">
        <w:rPr>
          <w:rFonts w:ascii="Times New Roman" w:hAnsi="Times New Roman" w:cs="Times New Roman"/>
          <w:sz w:val="26"/>
          <w:szCs w:val="26"/>
        </w:rPr>
        <w:t xml:space="preserve">without a nomination </w:t>
      </w:r>
      <w:r w:rsidR="00CB6E44">
        <w:rPr>
          <w:rFonts w:ascii="Times New Roman" w:hAnsi="Times New Roman" w:cs="Times New Roman"/>
          <w:sz w:val="26"/>
          <w:szCs w:val="26"/>
        </w:rPr>
        <w:t>has been at the State Department where the position has been unfilled since January 2008, over four and a half years</w:t>
      </w:r>
      <w:r w:rsidR="00B160A7">
        <w:rPr>
          <w:rFonts w:ascii="Times New Roman" w:hAnsi="Times New Roman" w:cs="Times New Roman"/>
          <w:sz w:val="26"/>
          <w:szCs w:val="26"/>
        </w:rPr>
        <w:t xml:space="preserve">, followed by the Interior Department (three and a half years), the Labor Department (over 37 months), the USAID (over </w:t>
      </w:r>
      <w:r w:rsidR="00F46A4B">
        <w:rPr>
          <w:rFonts w:ascii="Times New Roman" w:hAnsi="Times New Roman" w:cs="Times New Roman"/>
          <w:sz w:val="26"/>
          <w:szCs w:val="26"/>
        </w:rPr>
        <w:t>10</w:t>
      </w:r>
      <w:r w:rsidR="00B160A7">
        <w:rPr>
          <w:rFonts w:ascii="Times New Roman" w:hAnsi="Times New Roman" w:cs="Times New Roman"/>
          <w:sz w:val="26"/>
          <w:szCs w:val="26"/>
        </w:rPr>
        <w:t xml:space="preserve"> months), the Defense Department</w:t>
      </w:r>
      <w:r>
        <w:rPr>
          <w:rFonts w:ascii="Times New Roman" w:hAnsi="Times New Roman" w:cs="Times New Roman"/>
          <w:sz w:val="26"/>
          <w:szCs w:val="26"/>
        </w:rPr>
        <w:t xml:space="preserve"> </w:t>
      </w:r>
      <w:r w:rsidR="00F46A4B">
        <w:rPr>
          <w:rFonts w:ascii="Times New Roman" w:hAnsi="Times New Roman" w:cs="Times New Roman"/>
          <w:sz w:val="26"/>
          <w:szCs w:val="26"/>
        </w:rPr>
        <w:t>(over 8 months), and the Securities Exchange Commission (over seven months).</w:t>
      </w:r>
      <w:r w:rsidR="0084238F">
        <w:rPr>
          <w:rStyle w:val="FootnoteReference"/>
          <w:rFonts w:ascii="Times New Roman" w:hAnsi="Times New Roman" w:cs="Times New Roman"/>
          <w:sz w:val="26"/>
          <w:szCs w:val="26"/>
        </w:rPr>
        <w:footnoteReference w:id="39"/>
      </w:r>
      <w:r w:rsidR="00F46A4B">
        <w:rPr>
          <w:rFonts w:ascii="Times New Roman" w:hAnsi="Times New Roman" w:cs="Times New Roman"/>
          <w:sz w:val="26"/>
          <w:szCs w:val="26"/>
        </w:rPr>
        <w:t xml:space="preserve"> </w:t>
      </w:r>
    </w:p>
    <w:p w:rsidR="00305118" w:rsidRDefault="00305118" w:rsidP="00544E21">
      <w:pPr>
        <w:spacing w:after="0" w:line="240" w:lineRule="auto"/>
        <w:rPr>
          <w:rFonts w:ascii="Times New Roman" w:hAnsi="Times New Roman" w:cs="Times New Roman"/>
          <w:sz w:val="26"/>
          <w:szCs w:val="26"/>
        </w:rPr>
      </w:pPr>
    </w:p>
    <w:p w:rsidR="00513E9C" w:rsidRDefault="00305118"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F46A4B">
        <w:rPr>
          <w:rFonts w:ascii="Times New Roman" w:hAnsi="Times New Roman" w:cs="Times New Roman"/>
          <w:sz w:val="26"/>
          <w:szCs w:val="26"/>
        </w:rPr>
        <w:t xml:space="preserve">Over recent years IGs have established themselves as the bulwark of oversight of the executive </w:t>
      </w:r>
      <w:r w:rsidR="007405CA">
        <w:rPr>
          <w:rFonts w:ascii="Times New Roman" w:hAnsi="Times New Roman" w:cs="Times New Roman"/>
          <w:sz w:val="26"/>
          <w:szCs w:val="26"/>
        </w:rPr>
        <w:t xml:space="preserve">bureaucracy. Their effectiveness in combatting fraud, abuse, waste, maladministration and inefficiency derives </w:t>
      </w:r>
      <w:r w:rsidR="0084238F">
        <w:rPr>
          <w:rFonts w:ascii="Times New Roman" w:hAnsi="Times New Roman" w:cs="Times New Roman"/>
          <w:sz w:val="26"/>
          <w:szCs w:val="26"/>
        </w:rPr>
        <w:t>from their ability to perform audits and investigations with significant independence. That independence, in turn, stems from their unique dual-reporting structure</w:t>
      </w:r>
      <w:r w:rsidR="0068019A">
        <w:rPr>
          <w:rFonts w:ascii="Times New Roman" w:hAnsi="Times New Roman" w:cs="Times New Roman"/>
          <w:sz w:val="26"/>
          <w:szCs w:val="26"/>
        </w:rPr>
        <w:t xml:space="preserve">, which requires that they report their findings to both the agency </w:t>
      </w:r>
      <w:proofErr w:type="gramStart"/>
      <w:r w:rsidR="0068019A">
        <w:rPr>
          <w:rFonts w:ascii="Times New Roman" w:hAnsi="Times New Roman" w:cs="Times New Roman"/>
          <w:sz w:val="26"/>
          <w:szCs w:val="26"/>
        </w:rPr>
        <w:t>head  and</w:t>
      </w:r>
      <w:proofErr w:type="gramEnd"/>
      <w:r w:rsidR="0068019A">
        <w:rPr>
          <w:rFonts w:ascii="Times New Roman" w:hAnsi="Times New Roman" w:cs="Times New Roman"/>
          <w:sz w:val="26"/>
          <w:szCs w:val="26"/>
        </w:rPr>
        <w:t xml:space="preserve"> to Congress, as well as other tools that support independence such as access to their own counsel, separate budgets, the discretion to audit and investigate matters of their choosing without agency interference, and indefinite tenure</w:t>
      </w:r>
      <w:r w:rsidR="009B7626">
        <w:rPr>
          <w:rFonts w:ascii="Times New Roman" w:hAnsi="Times New Roman" w:cs="Times New Roman"/>
          <w:sz w:val="26"/>
          <w:szCs w:val="26"/>
        </w:rPr>
        <w:t xml:space="preserve">. Although an IG may be removed by the president at-will, </w:t>
      </w:r>
      <w:proofErr w:type="gramStart"/>
      <w:r w:rsidR="009B7626">
        <w:rPr>
          <w:rFonts w:ascii="Times New Roman" w:hAnsi="Times New Roman" w:cs="Times New Roman"/>
          <w:sz w:val="26"/>
          <w:szCs w:val="26"/>
        </w:rPr>
        <w:t xml:space="preserve">such action must be reported by </w:t>
      </w:r>
      <w:r w:rsidR="001D7E2E">
        <w:rPr>
          <w:rFonts w:ascii="Times New Roman" w:hAnsi="Times New Roman" w:cs="Times New Roman"/>
          <w:sz w:val="26"/>
          <w:szCs w:val="26"/>
        </w:rPr>
        <w:t xml:space="preserve">the IG </w:t>
      </w:r>
      <w:r w:rsidR="009B7626">
        <w:rPr>
          <w:rFonts w:ascii="Times New Roman" w:hAnsi="Times New Roman" w:cs="Times New Roman"/>
          <w:sz w:val="26"/>
          <w:szCs w:val="26"/>
        </w:rPr>
        <w:t xml:space="preserve">to </w:t>
      </w:r>
      <w:r w:rsidR="009B7626">
        <w:rPr>
          <w:rFonts w:ascii="Times New Roman" w:hAnsi="Times New Roman" w:cs="Times New Roman"/>
          <w:sz w:val="26"/>
          <w:szCs w:val="26"/>
        </w:rPr>
        <w:lastRenderedPageBreak/>
        <w:t>Congress accompanied by justifications</w:t>
      </w:r>
      <w:proofErr w:type="gramEnd"/>
      <w:r w:rsidR="009B7626">
        <w:rPr>
          <w:rFonts w:ascii="Times New Roman" w:hAnsi="Times New Roman" w:cs="Times New Roman"/>
          <w:sz w:val="26"/>
          <w:szCs w:val="26"/>
        </w:rPr>
        <w:t>. Testimony at the hearing made it clear</w:t>
      </w:r>
      <w:proofErr w:type="gramStart"/>
      <w:r w:rsidR="009B7626">
        <w:rPr>
          <w:rFonts w:ascii="Times New Roman" w:hAnsi="Times New Roman" w:cs="Times New Roman"/>
          <w:sz w:val="26"/>
          <w:szCs w:val="26"/>
        </w:rPr>
        <w:t xml:space="preserve">, </w:t>
      </w:r>
      <w:r w:rsidR="00502908">
        <w:rPr>
          <w:rFonts w:ascii="Times New Roman" w:hAnsi="Times New Roman" w:cs="Times New Roman"/>
          <w:sz w:val="26"/>
          <w:szCs w:val="26"/>
        </w:rPr>
        <w:t xml:space="preserve"> </w:t>
      </w:r>
      <w:r w:rsidR="009B7626">
        <w:rPr>
          <w:rFonts w:ascii="Times New Roman" w:hAnsi="Times New Roman" w:cs="Times New Roman"/>
          <w:sz w:val="26"/>
          <w:szCs w:val="26"/>
        </w:rPr>
        <w:t>however</w:t>
      </w:r>
      <w:proofErr w:type="gramEnd"/>
      <w:r w:rsidR="009B7626">
        <w:rPr>
          <w:rFonts w:ascii="Times New Roman" w:hAnsi="Times New Roman" w:cs="Times New Roman"/>
          <w:sz w:val="26"/>
          <w:szCs w:val="26"/>
        </w:rPr>
        <w:t xml:space="preserve">, that IG effectiveness can become tenuous and be diminished when the office does not have permanent leadership and when vacancies extend for long periods. In such circumstances </w:t>
      </w:r>
      <w:r w:rsidR="00502908">
        <w:rPr>
          <w:rFonts w:ascii="Times New Roman" w:hAnsi="Times New Roman" w:cs="Times New Roman"/>
          <w:sz w:val="26"/>
          <w:szCs w:val="26"/>
        </w:rPr>
        <w:t>lengthy vacancies can affect the credibility of acting</w:t>
      </w:r>
      <w:r>
        <w:rPr>
          <w:rFonts w:ascii="Times New Roman" w:hAnsi="Times New Roman" w:cs="Times New Roman"/>
          <w:sz w:val="26"/>
          <w:szCs w:val="26"/>
        </w:rPr>
        <w:t xml:space="preserve"> </w:t>
      </w:r>
      <w:proofErr w:type="gramStart"/>
      <w:r>
        <w:rPr>
          <w:rFonts w:ascii="Times New Roman" w:hAnsi="Times New Roman" w:cs="Times New Roman"/>
          <w:sz w:val="26"/>
          <w:szCs w:val="26"/>
        </w:rPr>
        <w:t>IGs</w:t>
      </w:r>
      <w:r w:rsidR="00502908">
        <w:rPr>
          <w:rFonts w:ascii="Times New Roman" w:hAnsi="Times New Roman" w:cs="Times New Roman"/>
          <w:sz w:val="26"/>
          <w:szCs w:val="26"/>
        </w:rPr>
        <w:t xml:space="preserve"> which</w:t>
      </w:r>
      <w:proofErr w:type="gramEnd"/>
      <w:r w:rsidR="00502908">
        <w:rPr>
          <w:rFonts w:ascii="Times New Roman" w:hAnsi="Times New Roman" w:cs="Times New Roman"/>
          <w:sz w:val="26"/>
          <w:szCs w:val="26"/>
        </w:rPr>
        <w:t>, in turn, can detract from the appearance, and even the fact, of independence.</w:t>
      </w:r>
      <w:r w:rsidR="00502908">
        <w:rPr>
          <w:rStyle w:val="FootnoteReference"/>
          <w:rFonts w:ascii="Times New Roman" w:hAnsi="Times New Roman" w:cs="Times New Roman"/>
          <w:sz w:val="26"/>
          <w:szCs w:val="26"/>
        </w:rPr>
        <w:footnoteReference w:id="40"/>
      </w:r>
      <w:r w:rsidR="00513E9C">
        <w:rPr>
          <w:rFonts w:ascii="Times New Roman" w:hAnsi="Times New Roman" w:cs="Times New Roman"/>
          <w:sz w:val="26"/>
          <w:szCs w:val="26"/>
        </w:rPr>
        <w:t xml:space="preserve"> </w:t>
      </w:r>
    </w:p>
    <w:p w:rsidR="00513E9C" w:rsidRDefault="00513E9C" w:rsidP="00544E21">
      <w:pPr>
        <w:spacing w:after="0" w:line="240" w:lineRule="auto"/>
        <w:rPr>
          <w:rFonts w:ascii="Times New Roman" w:hAnsi="Times New Roman" w:cs="Times New Roman"/>
          <w:sz w:val="26"/>
          <w:szCs w:val="26"/>
        </w:rPr>
      </w:pPr>
    </w:p>
    <w:p w:rsidR="00513E9C" w:rsidRPr="00513E9C" w:rsidRDefault="00513E9C" w:rsidP="00513E9C">
      <w:pPr>
        <w:spacing w:after="0" w:line="240" w:lineRule="auto"/>
        <w:rPr>
          <w:rFonts w:ascii="Times New Roman" w:hAnsi="Times New Roman" w:cs="Times New Roman"/>
          <w:i/>
          <w:sz w:val="26"/>
          <w:szCs w:val="26"/>
        </w:rPr>
      </w:pPr>
      <w:r w:rsidRPr="00513E9C">
        <w:rPr>
          <w:rFonts w:ascii="Times New Roman" w:hAnsi="Times New Roman" w:cs="Times New Roman"/>
          <w:i/>
          <w:sz w:val="26"/>
          <w:szCs w:val="26"/>
        </w:rPr>
        <w:tab/>
        <w:t>(ii</w:t>
      </w:r>
      <w:r>
        <w:rPr>
          <w:rFonts w:ascii="Times New Roman" w:hAnsi="Times New Roman" w:cs="Times New Roman"/>
          <w:i/>
          <w:sz w:val="26"/>
          <w:szCs w:val="26"/>
        </w:rPr>
        <w:t>i</w:t>
      </w:r>
      <w:proofErr w:type="gramStart"/>
      <w:r>
        <w:rPr>
          <w:rFonts w:ascii="Times New Roman" w:hAnsi="Times New Roman" w:cs="Times New Roman"/>
          <w:i/>
          <w:sz w:val="26"/>
          <w:szCs w:val="26"/>
        </w:rPr>
        <w:t xml:space="preserve">) </w:t>
      </w:r>
      <w:r w:rsidR="00DE4802">
        <w:rPr>
          <w:rFonts w:ascii="Times New Roman" w:hAnsi="Times New Roman" w:cs="Times New Roman"/>
          <w:i/>
          <w:sz w:val="26"/>
          <w:szCs w:val="26"/>
        </w:rPr>
        <w:t xml:space="preserve">     </w:t>
      </w:r>
      <w:r w:rsidRPr="00513E9C">
        <w:rPr>
          <w:rFonts w:ascii="Times New Roman" w:hAnsi="Times New Roman" w:cs="Times New Roman"/>
          <w:i/>
          <w:sz w:val="26"/>
          <w:szCs w:val="26"/>
        </w:rPr>
        <w:t>President</w:t>
      </w:r>
      <w:proofErr w:type="gramEnd"/>
      <w:r w:rsidRPr="00513E9C">
        <w:rPr>
          <w:rFonts w:ascii="Times New Roman" w:hAnsi="Times New Roman" w:cs="Times New Roman"/>
          <w:i/>
          <w:sz w:val="26"/>
          <w:szCs w:val="26"/>
        </w:rPr>
        <w:t xml:space="preserve"> Obama’s Failure to </w:t>
      </w:r>
      <w:r>
        <w:rPr>
          <w:rFonts w:ascii="Times New Roman" w:hAnsi="Times New Roman" w:cs="Times New Roman"/>
          <w:i/>
          <w:sz w:val="26"/>
          <w:szCs w:val="26"/>
        </w:rPr>
        <w:t xml:space="preserve">Make Timely Nominations to Existing </w:t>
      </w:r>
      <w:r w:rsidR="00DE4802">
        <w:rPr>
          <w:rFonts w:ascii="Times New Roman" w:hAnsi="Times New Roman" w:cs="Times New Roman"/>
          <w:i/>
          <w:sz w:val="26"/>
          <w:szCs w:val="26"/>
        </w:rPr>
        <w:t xml:space="preserve">     </w:t>
      </w:r>
      <w:r w:rsidR="00DE4802">
        <w:rPr>
          <w:rFonts w:ascii="Times New Roman" w:hAnsi="Times New Roman" w:cs="Times New Roman"/>
          <w:i/>
          <w:sz w:val="26"/>
          <w:szCs w:val="26"/>
        </w:rPr>
        <w:tab/>
      </w:r>
      <w:r w:rsidR="00DE4802">
        <w:rPr>
          <w:rFonts w:ascii="Times New Roman" w:hAnsi="Times New Roman" w:cs="Times New Roman"/>
          <w:i/>
          <w:sz w:val="26"/>
          <w:szCs w:val="26"/>
        </w:rPr>
        <w:tab/>
      </w:r>
      <w:r w:rsidR="00DE4802">
        <w:rPr>
          <w:rFonts w:ascii="Times New Roman" w:hAnsi="Times New Roman" w:cs="Times New Roman"/>
          <w:i/>
          <w:sz w:val="26"/>
          <w:szCs w:val="26"/>
        </w:rPr>
        <w:tab/>
      </w:r>
      <w:r>
        <w:rPr>
          <w:rFonts w:ascii="Times New Roman" w:hAnsi="Times New Roman" w:cs="Times New Roman"/>
          <w:i/>
          <w:sz w:val="26"/>
          <w:szCs w:val="26"/>
        </w:rPr>
        <w:t>Vacant</w:t>
      </w:r>
      <w:r w:rsidR="00DE4802">
        <w:rPr>
          <w:rFonts w:ascii="Times New Roman" w:hAnsi="Times New Roman" w:cs="Times New Roman"/>
          <w:i/>
          <w:sz w:val="26"/>
          <w:szCs w:val="26"/>
        </w:rPr>
        <w:t xml:space="preserve"> </w:t>
      </w:r>
      <w:r>
        <w:rPr>
          <w:rFonts w:ascii="Times New Roman" w:hAnsi="Times New Roman" w:cs="Times New Roman"/>
          <w:i/>
          <w:sz w:val="26"/>
          <w:szCs w:val="26"/>
        </w:rPr>
        <w:t>Principal Officer Positions (2009-2012</w:t>
      </w:r>
      <w:r w:rsidR="00DE4802">
        <w:rPr>
          <w:rFonts w:ascii="Times New Roman" w:hAnsi="Times New Roman" w:cs="Times New Roman"/>
          <w:i/>
          <w:sz w:val="26"/>
          <w:szCs w:val="26"/>
        </w:rPr>
        <w:t>)</w:t>
      </w:r>
      <w:r>
        <w:rPr>
          <w:rFonts w:ascii="Times New Roman" w:hAnsi="Times New Roman" w:cs="Times New Roman"/>
          <w:i/>
          <w:sz w:val="26"/>
          <w:szCs w:val="26"/>
        </w:rPr>
        <w:t xml:space="preserve">  </w:t>
      </w:r>
    </w:p>
    <w:p w:rsidR="00513E9C" w:rsidRDefault="00513E9C" w:rsidP="00544E21">
      <w:pPr>
        <w:spacing w:after="0" w:line="240" w:lineRule="auto"/>
        <w:rPr>
          <w:rFonts w:ascii="Times New Roman" w:hAnsi="Times New Roman" w:cs="Times New Roman"/>
          <w:sz w:val="26"/>
          <w:szCs w:val="26"/>
        </w:rPr>
      </w:pPr>
    </w:p>
    <w:p w:rsidR="00A0175F" w:rsidRDefault="00513E9C"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A0175F">
        <w:rPr>
          <w:rFonts w:ascii="Times New Roman" w:hAnsi="Times New Roman" w:cs="Times New Roman"/>
          <w:sz w:val="26"/>
          <w:szCs w:val="26"/>
        </w:rPr>
        <w:t xml:space="preserve">In at least three instances </w:t>
      </w:r>
      <w:r>
        <w:rPr>
          <w:rFonts w:ascii="Times New Roman" w:hAnsi="Times New Roman" w:cs="Times New Roman"/>
          <w:sz w:val="26"/>
          <w:szCs w:val="26"/>
        </w:rPr>
        <w:t xml:space="preserve">since 2009 </w:t>
      </w:r>
      <w:r w:rsidR="00A0175F">
        <w:rPr>
          <w:rFonts w:ascii="Times New Roman" w:hAnsi="Times New Roman" w:cs="Times New Roman"/>
          <w:sz w:val="26"/>
          <w:szCs w:val="26"/>
        </w:rPr>
        <w:t xml:space="preserve">President Obama has failed to submit </w:t>
      </w:r>
      <w:r>
        <w:rPr>
          <w:rFonts w:ascii="Times New Roman" w:hAnsi="Times New Roman" w:cs="Times New Roman"/>
          <w:sz w:val="26"/>
          <w:szCs w:val="26"/>
        </w:rPr>
        <w:t xml:space="preserve">timely </w:t>
      </w:r>
      <w:r w:rsidR="00A0175F">
        <w:rPr>
          <w:rFonts w:ascii="Times New Roman" w:hAnsi="Times New Roman" w:cs="Times New Roman"/>
          <w:sz w:val="26"/>
          <w:szCs w:val="26"/>
        </w:rPr>
        <w:t xml:space="preserve">nominations </w:t>
      </w:r>
      <w:r>
        <w:rPr>
          <w:rFonts w:ascii="Times New Roman" w:hAnsi="Times New Roman" w:cs="Times New Roman"/>
          <w:sz w:val="26"/>
          <w:szCs w:val="26"/>
        </w:rPr>
        <w:t xml:space="preserve">for </w:t>
      </w:r>
      <w:r w:rsidR="00A0175F">
        <w:rPr>
          <w:rFonts w:ascii="Times New Roman" w:hAnsi="Times New Roman" w:cs="Times New Roman"/>
          <w:sz w:val="26"/>
          <w:szCs w:val="26"/>
        </w:rPr>
        <w:t xml:space="preserve">newly created </w:t>
      </w:r>
      <w:r>
        <w:rPr>
          <w:rFonts w:ascii="Times New Roman" w:hAnsi="Times New Roman" w:cs="Times New Roman"/>
          <w:sz w:val="26"/>
          <w:szCs w:val="26"/>
        </w:rPr>
        <w:t xml:space="preserve">principal officer positions </w:t>
      </w:r>
      <w:r w:rsidR="004543F7">
        <w:rPr>
          <w:rFonts w:ascii="Times New Roman" w:hAnsi="Times New Roman" w:cs="Times New Roman"/>
          <w:sz w:val="26"/>
          <w:szCs w:val="26"/>
        </w:rPr>
        <w:t xml:space="preserve">that has resulted in delays in the start up and implementation important regulatory programs and raised substantial legal uncertainty whether the </w:t>
      </w:r>
      <w:r w:rsidR="005E3843">
        <w:rPr>
          <w:rFonts w:ascii="Times New Roman" w:hAnsi="Times New Roman" w:cs="Times New Roman"/>
          <w:sz w:val="26"/>
          <w:szCs w:val="26"/>
        </w:rPr>
        <w:t>substantive actions of the designated temporary occupants of those offices were lawful.</w:t>
      </w:r>
    </w:p>
    <w:p w:rsidR="005E3843" w:rsidRDefault="005E3843" w:rsidP="00544E21">
      <w:pPr>
        <w:spacing w:after="0" w:line="240" w:lineRule="auto"/>
        <w:rPr>
          <w:rFonts w:ascii="Times New Roman" w:hAnsi="Times New Roman" w:cs="Times New Roman"/>
          <w:sz w:val="26"/>
          <w:szCs w:val="26"/>
        </w:rPr>
      </w:pPr>
    </w:p>
    <w:p w:rsidR="00D533E3" w:rsidRDefault="005E3843"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3B0D8E">
        <w:rPr>
          <w:rFonts w:ascii="Times New Roman" w:hAnsi="Times New Roman" w:cs="Times New Roman"/>
          <w:sz w:val="26"/>
          <w:szCs w:val="26"/>
        </w:rPr>
        <w:t xml:space="preserve">The first </w:t>
      </w:r>
      <w:r w:rsidR="004D64A2">
        <w:rPr>
          <w:rFonts w:ascii="Times New Roman" w:hAnsi="Times New Roman" w:cs="Times New Roman"/>
          <w:sz w:val="26"/>
          <w:szCs w:val="26"/>
        </w:rPr>
        <w:t>concerns</w:t>
      </w:r>
      <w:r w:rsidR="003B0D8E">
        <w:rPr>
          <w:rFonts w:ascii="Times New Roman" w:hAnsi="Times New Roman" w:cs="Times New Roman"/>
          <w:sz w:val="26"/>
          <w:szCs w:val="26"/>
        </w:rPr>
        <w:t xml:space="preserve"> the Office of the Director</w:t>
      </w:r>
      <w:r w:rsidR="009F5E03">
        <w:rPr>
          <w:rFonts w:ascii="Times New Roman" w:hAnsi="Times New Roman" w:cs="Times New Roman"/>
          <w:sz w:val="26"/>
          <w:szCs w:val="26"/>
        </w:rPr>
        <w:t xml:space="preserve"> of the Consumer Financial Bureau (CFPB), </w:t>
      </w:r>
      <w:r w:rsidR="004D64A2">
        <w:rPr>
          <w:rFonts w:ascii="Times New Roman" w:hAnsi="Times New Roman" w:cs="Times New Roman"/>
          <w:sz w:val="26"/>
          <w:szCs w:val="26"/>
        </w:rPr>
        <w:t xml:space="preserve">which involves </w:t>
      </w:r>
      <w:r w:rsidR="009F5E03">
        <w:rPr>
          <w:rFonts w:ascii="Times New Roman" w:hAnsi="Times New Roman" w:cs="Times New Roman"/>
          <w:sz w:val="26"/>
          <w:szCs w:val="26"/>
        </w:rPr>
        <w:t>one of the recess appointees that is the subject of this paper. The office was created by Title X of the Dodd-Frank Act (DFA)</w:t>
      </w:r>
      <w:r w:rsidR="009F5E03">
        <w:rPr>
          <w:rStyle w:val="FootnoteReference"/>
          <w:rFonts w:ascii="Times New Roman" w:hAnsi="Times New Roman" w:cs="Times New Roman"/>
          <w:sz w:val="26"/>
          <w:szCs w:val="26"/>
        </w:rPr>
        <w:footnoteReference w:id="41"/>
      </w:r>
      <w:proofErr w:type="gramStart"/>
      <w:r w:rsidR="009F5E03">
        <w:rPr>
          <w:rFonts w:ascii="Times New Roman" w:hAnsi="Times New Roman" w:cs="Times New Roman"/>
          <w:sz w:val="26"/>
          <w:szCs w:val="26"/>
        </w:rPr>
        <w:t xml:space="preserve"> which</w:t>
      </w:r>
      <w:proofErr w:type="gramEnd"/>
      <w:r w:rsidR="009F5E03">
        <w:rPr>
          <w:rFonts w:ascii="Times New Roman" w:hAnsi="Times New Roman" w:cs="Times New Roman"/>
          <w:sz w:val="26"/>
          <w:szCs w:val="26"/>
        </w:rPr>
        <w:t xml:space="preserve"> established the CFPB as an independent agency within the Federal Reserve System. The Director must be appointed by President, subject to Senate confirmation, and serves for a </w:t>
      </w:r>
      <w:proofErr w:type="gramStart"/>
      <w:r w:rsidR="009F5E03">
        <w:rPr>
          <w:rFonts w:ascii="Times New Roman" w:hAnsi="Times New Roman" w:cs="Times New Roman"/>
          <w:sz w:val="26"/>
          <w:szCs w:val="26"/>
        </w:rPr>
        <w:t>five year</w:t>
      </w:r>
      <w:proofErr w:type="gramEnd"/>
      <w:r w:rsidR="009F5E03">
        <w:rPr>
          <w:rFonts w:ascii="Times New Roman" w:hAnsi="Times New Roman" w:cs="Times New Roman"/>
          <w:sz w:val="26"/>
          <w:szCs w:val="26"/>
        </w:rPr>
        <w:t xml:space="preserve"> term</w:t>
      </w:r>
      <w:r w:rsidR="00D533E3">
        <w:rPr>
          <w:rFonts w:ascii="Times New Roman" w:hAnsi="Times New Roman" w:cs="Times New Roman"/>
          <w:sz w:val="26"/>
          <w:szCs w:val="26"/>
        </w:rPr>
        <w:t xml:space="preserve"> and is removable by the president only “for cause.” The DFA directs the transfer of existing Federal agency consumer protection authorities to the Bureau by a date certain. Those powers, as well as new authorities established by the DFA, are vested in the Director alone, and may not be exercised by anyone other than a Senate confirmed Director.</w:t>
      </w:r>
      <w:r w:rsidR="00590E64">
        <w:rPr>
          <w:rFonts w:ascii="Times New Roman" w:hAnsi="Times New Roman" w:cs="Times New Roman"/>
          <w:sz w:val="26"/>
          <w:szCs w:val="26"/>
        </w:rPr>
        <w:t xml:space="preserve"> The DFA became effective on July 21, 2010.</w:t>
      </w:r>
    </w:p>
    <w:p w:rsidR="00D533E3" w:rsidRDefault="00D533E3" w:rsidP="00544E21">
      <w:pPr>
        <w:spacing w:after="0" w:line="240" w:lineRule="auto"/>
        <w:rPr>
          <w:rFonts w:ascii="Times New Roman" w:hAnsi="Times New Roman" w:cs="Times New Roman"/>
          <w:sz w:val="26"/>
          <w:szCs w:val="26"/>
        </w:rPr>
      </w:pPr>
    </w:p>
    <w:p w:rsidR="0036069E" w:rsidRDefault="00D533E3"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In anticipation of a hiatus period between the time needed for the orderly </w:t>
      </w:r>
      <w:proofErr w:type="gramStart"/>
      <w:r>
        <w:rPr>
          <w:rFonts w:ascii="Times New Roman" w:hAnsi="Times New Roman" w:cs="Times New Roman"/>
          <w:sz w:val="26"/>
          <w:szCs w:val="26"/>
        </w:rPr>
        <w:t>transfer  of</w:t>
      </w:r>
      <w:proofErr w:type="gramEnd"/>
      <w:r>
        <w:rPr>
          <w:rFonts w:ascii="Times New Roman" w:hAnsi="Times New Roman" w:cs="Times New Roman"/>
          <w:sz w:val="26"/>
          <w:szCs w:val="26"/>
        </w:rPr>
        <w:t xml:space="preserve"> the authorities and personnel of seven agencies</w:t>
      </w:r>
      <w:r w:rsidR="0068627C">
        <w:rPr>
          <w:rFonts w:ascii="Times New Roman" w:hAnsi="Times New Roman" w:cs="Times New Roman"/>
          <w:sz w:val="26"/>
          <w:szCs w:val="26"/>
        </w:rPr>
        <w:t xml:space="preserve"> to the new agency</w:t>
      </w:r>
      <w:r>
        <w:rPr>
          <w:rFonts w:ascii="Times New Roman" w:hAnsi="Times New Roman" w:cs="Times New Roman"/>
          <w:sz w:val="26"/>
          <w:szCs w:val="26"/>
        </w:rPr>
        <w:t xml:space="preserve"> and the confirmation of a new </w:t>
      </w:r>
      <w:r w:rsidR="00590E64">
        <w:rPr>
          <w:rFonts w:ascii="Times New Roman" w:hAnsi="Times New Roman" w:cs="Times New Roman"/>
          <w:sz w:val="26"/>
          <w:szCs w:val="26"/>
        </w:rPr>
        <w:t>D</w:t>
      </w:r>
      <w:r>
        <w:rPr>
          <w:rFonts w:ascii="Times New Roman" w:hAnsi="Times New Roman" w:cs="Times New Roman"/>
          <w:sz w:val="26"/>
          <w:szCs w:val="26"/>
        </w:rPr>
        <w:t xml:space="preserve">irector, Section 1066 (a) of the DFA </w:t>
      </w:r>
      <w:r w:rsidR="00590E64">
        <w:rPr>
          <w:rFonts w:ascii="Times New Roman" w:hAnsi="Times New Roman" w:cs="Times New Roman"/>
          <w:sz w:val="26"/>
          <w:szCs w:val="26"/>
        </w:rPr>
        <w:t>provides that the Treasury Secretary “is authorized</w:t>
      </w:r>
      <w:r w:rsidR="009F5E03">
        <w:rPr>
          <w:rFonts w:ascii="Times New Roman" w:hAnsi="Times New Roman" w:cs="Times New Roman"/>
          <w:sz w:val="26"/>
          <w:szCs w:val="26"/>
        </w:rPr>
        <w:t xml:space="preserve"> </w:t>
      </w:r>
      <w:r w:rsidR="00590E64">
        <w:rPr>
          <w:rFonts w:ascii="Times New Roman" w:hAnsi="Times New Roman" w:cs="Times New Roman"/>
          <w:sz w:val="26"/>
          <w:szCs w:val="26"/>
        </w:rPr>
        <w:t xml:space="preserve">to perform the functions of the Bureau under </w:t>
      </w:r>
      <w:r w:rsidR="00590E64">
        <w:rPr>
          <w:rFonts w:ascii="Times New Roman" w:hAnsi="Times New Roman" w:cs="Times New Roman"/>
          <w:i/>
          <w:sz w:val="26"/>
          <w:szCs w:val="26"/>
        </w:rPr>
        <w:t xml:space="preserve">this </w:t>
      </w:r>
      <w:r w:rsidR="00590E64">
        <w:rPr>
          <w:rFonts w:ascii="Times New Roman" w:hAnsi="Times New Roman" w:cs="Times New Roman"/>
          <w:sz w:val="26"/>
          <w:szCs w:val="26"/>
        </w:rPr>
        <w:t>subtitle [F] until” a Director is confirmed.</w:t>
      </w:r>
      <w:r w:rsidR="004D64A2">
        <w:rPr>
          <w:rStyle w:val="FootnoteReference"/>
          <w:rFonts w:ascii="Times New Roman" w:hAnsi="Times New Roman" w:cs="Times New Roman"/>
          <w:sz w:val="26"/>
          <w:szCs w:val="26"/>
        </w:rPr>
        <w:footnoteReference w:id="42"/>
      </w:r>
      <w:r w:rsidR="00590E64">
        <w:rPr>
          <w:rFonts w:ascii="Times New Roman" w:hAnsi="Times New Roman" w:cs="Times New Roman"/>
          <w:sz w:val="26"/>
          <w:szCs w:val="26"/>
        </w:rPr>
        <w:t xml:space="preserve"> </w:t>
      </w:r>
      <w:r w:rsidR="00A57012">
        <w:rPr>
          <w:rFonts w:ascii="Times New Roman" w:hAnsi="Times New Roman" w:cs="Times New Roman"/>
          <w:sz w:val="26"/>
          <w:szCs w:val="26"/>
        </w:rPr>
        <w:t>An opinion letter by the Inspectors General of Treasury and the Federal Reserve Board</w:t>
      </w:r>
      <w:r w:rsidR="003B0D8E">
        <w:rPr>
          <w:rFonts w:ascii="Times New Roman" w:hAnsi="Times New Roman" w:cs="Times New Roman"/>
          <w:sz w:val="26"/>
          <w:szCs w:val="26"/>
        </w:rPr>
        <w:t xml:space="preserve"> </w:t>
      </w:r>
      <w:r w:rsidR="00A57012">
        <w:rPr>
          <w:rFonts w:ascii="Times New Roman" w:hAnsi="Times New Roman" w:cs="Times New Roman"/>
          <w:sz w:val="26"/>
          <w:szCs w:val="26"/>
        </w:rPr>
        <w:t xml:space="preserve">in January 2011 </w:t>
      </w:r>
      <w:r w:rsidR="004D64A2">
        <w:rPr>
          <w:rFonts w:ascii="Times New Roman" w:hAnsi="Times New Roman" w:cs="Times New Roman"/>
          <w:sz w:val="26"/>
          <w:szCs w:val="26"/>
        </w:rPr>
        <w:t xml:space="preserve">to a House jurisdictional committee </w:t>
      </w:r>
      <w:r w:rsidR="00A57012">
        <w:rPr>
          <w:rFonts w:ascii="Times New Roman" w:hAnsi="Times New Roman" w:cs="Times New Roman"/>
          <w:sz w:val="26"/>
          <w:szCs w:val="26"/>
        </w:rPr>
        <w:t>opined that</w:t>
      </w:r>
      <w:r w:rsidR="0068627C">
        <w:rPr>
          <w:rFonts w:ascii="Times New Roman" w:hAnsi="Times New Roman" w:cs="Times New Roman"/>
          <w:sz w:val="26"/>
          <w:szCs w:val="26"/>
        </w:rPr>
        <w:t>,</w:t>
      </w:r>
      <w:r w:rsidR="00A57012">
        <w:rPr>
          <w:rFonts w:ascii="Times New Roman" w:hAnsi="Times New Roman" w:cs="Times New Roman"/>
          <w:sz w:val="26"/>
          <w:szCs w:val="26"/>
        </w:rPr>
        <w:t xml:space="preserve"> pursuant to Section 1066(a)</w:t>
      </w:r>
      <w:r w:rsidR="0068627C">
        <w:rPr>
          <w:rFonts w:ascii="Times New Roman" w:hAnsi="Times New Roman" w:cs="Times New Roman"/>
          <w:sz w:val="26"/>
          <w:szCs w:val="26"/>
        </w:rPr>
        <w:t>,</w:t>
      </w:r>
      <w:r w:rsidR="00A57012">
        <w:rPr>
          <w:rFonts w:ascii="Times New Roman" w:hAnsi="Times New Roman" w:cs="Times New Roman"/>
          <w:sz w:val="26"/>
          <w:szCs w:val="26"/>
        </w:rPr>
        <w:t xml:space="preserve"> the Treasury Secretary could exercise the transferred agency functions on the transfer date if there was </w:t>
      </w:r>
      <w:r w:rsidR="0068627C">
        <w:rPr>
          <w:rFonts w:ascii="Times New Roman" w:hAnsi="Times New Roman" w:cs="Times New Roman"/>
          <w:sz w:val="26"/>
          <w:szCs w:val="26"/>
        </w:rPr>
        <w:t xml:space="preserve">no </w:t>
      </w:r>
      <w:r w:rsidR="00A57012">
        <w:rPr>
          <w:rFonts w:ascii="Times New Roman" w:hAnsi="Times New Roman" w:cs="Times New Roman"/>
          <w:sz w:val="26"/>
          <w:szCs w:val="26"/>
        </w:rPr>
        <w:t xml:space="preserve">Director, but not any of the new authorities created by the DFA. The transfer date selected by the Secretary (as authorized by the DFA) was July 21, 2011. The </w:t>
      </w:r>
      <w:r w:rsidR="008E211F">
        <w:rPr>
          <w:rFonts w:ascii="Times New Roman" w:hAnsi="Times New Roman" w:cs="Times New Roman"/>
          <w:sz w:val="26"/>
          <w:szCs w:val="26"/>
        </w:rPr>
        <w:t xml:space="preserve">IGs’ </w:t>
      </w:r>
      <w:r w:rsidR="00A57012">
        <w:rPr>
          <w:rFonts w:ascii="Times New Roman" w:hAnsi="Times New Roman" w:cs="Times New Roman"/>
          <w:sz w:val="26"/>
          <w:szCs w:val="26"/>
        </w:rPr>
        <w:t>opinion letter</w:t>
      </w:r>
      <w:r w:rsidR="008E211F">
        <w:rPr>
          <w:rFonts w:ascii="Times New Roman" w:hAnsi="Times New Roman" w:cs="Times New Roman"/>
          <w:sz w:val="26"/>
          <w:szCs w:val="26"/>
        </w:rPr>
        <w:t xml:space="preserve"> never addresse</w:t>
      </w:r>
      <w:r w:rsidR="001D113E">
        <w:rPr>
          <w:rFonts w:ascii="Times New Roman" w:hAnsi="Times New Roman" w:cs="Times New Roman"/>
          <w:sz w:val="26"/>
          <w:szCs w:val="26"/>
        </w:rPr>
        <w:t>s the potential conflicts their interpretation raised with respect to the structure and purposes of the DFA</w:t>
      </w:r>
      <w:r w:rsidR="00123733">
        <w:rPr>
          <w:rFonts w:ascii="Times New Roman" w:hAnsi="Times New Roman" w:cs="Times New Roman"/>
          <w:sz w:val="26"/>
          <w:szCs w:val="26"/>
        </w:rPr>
        <w:t xml:space="preserve"> and no reasoned basis for not including the new authorities of the CFPB established by the DFA. </w:t>
      </w:r>
      <w:r w:rsidR="008F2DB8">
        <w:rPr>
          <w:rFonts w:ascii="Times New Roman" w:hAnsi="Times New Roman" w:cs="Times New Roman"/>
          <w:sz w:val="26"/>
          <w:szCs w:val="26"/>
        </w:rPr>
        <w:t>In fact, t</w:t>
      </w:r>
      <w:r w:rsidR="00123733">
        <w:rPr>
          <w:rFonts w:ascii="Times New Roman" w:hAnsi="Times New Roman" w:cs="Times New Roman"/>
          <w:sz w:val="26"/>
          <w:szCs w:val="26"/>
        </w:rPr>
        <w:t xml:space="preserve">he only </w:t>
      </w:r>
      <w:r w:rsidR="001E3363">
        <w:rPr>
          <w:rFonts w:ascii="Times New Roman" w:hAnsi="Times New Roman" w:cs="Times New Roman"/>
          <w:sz w:val="26"/>
          <w:szCs w:val="26"/>
        </w:rPr>
        <w:t>task delegated to the Secretary by Subtitle F</w:t>
      </w:r>
      <w:r w:rsidR="003C48AA">
        <w:rPr>
          <w:rFonts w:ascii="Times New Roman" w:hAnsi="Times New Roman" w:cs="Times New Roman"/>
          <w:sz w:val="26"/>
          <w:szCs w:val="26"/>
        </w:rPr>
        <w:t xml:space="preserve"> </w:t>
      </w:r>
      <w:r w:rsidR="001E3363">
        <w:rPr>
          <w:rFonts w:ascii="Times New Roman" w:hAnsi="Times New Roman" w:cs="Times New Roman"/>
          <w:sz w:val="26"/>
          <w:szCs w:val="26"/>
        </w:rPr>
        <w:t>was to oversee and facilitate the transfer of consumer protection functions</w:t>
      </w:r>
      <w:r w:rsidR="0068627C">
        <w:rPr>
          <w:rFonts w:ascii="Times New Roman" w:hAnsi="Times New Roman" w:cs="Times New Roman"/>
          <w:sz w:val="26"/>
          <w:szCs w:val="26"/>
        </w:rPr>
        <w:t xml:space="preserve"> and the organizational set up of the Bureau. </w:t>
      </w:r>
      <w:r w:rsidR="001E3363">
        <w:rPr>
          <w:rFonts w:ascii="Times New Roman" w:hAnsi="Times New Roman" w:cs="Times New Roman"/>
          <w:sz w:val="26"/>
          <w:szCs w:val="26"/>
        </w:rPr>
        <w:t xml:space="preserve"> </w:t>
      </w:r>
      <w:r w:rsidR="001E3363">
        <w:rPr>
          <w:rFonts w:ascii="Times New Roman" w:hAnsi="Times New Roman" w:cs="Times New Roman"/>
          <w:sz w:val="26"/>
          <w:szCs w:val="26"/>
        </w:rPr>
        <w:lastRenderedPageBreak/>
        <w:t>Moreover, the structural independence</w:t>
      </w:r>
      <w:r w:rsidR="003C48AA">
        <w:rPr>
          <w:rFonts w:ascii="Times New Roman" w:hAnsi="Times New Roman" w:cs="Times New Roman"/>
          <w:sz w:val="26"/>
          <w:szCs w:val="26"/>
        </w:rPr>
        <w:t xml:space="preserve"> </w:t>
      </w:r>
      <w:r w:rsidR="001E3363">
        <w:rPr>
          <w:rFonts w:ascii="Times New Roman" w:hAnsi="Times New Roman" w:cs="Times New Roman"/>
          <w:sz w:val="26"/>
          <w:szCs w:val="26"/>
        </w:rPr>
        <w:t>of the CFPB intended by Congress-</w:t>
      </w:r>
      <w:r w:rsidR="0036069E">
        <w:rPr>
          <w:rFonts w:ascii="Times New Roman" w:hAnsi="Times New Roman" w:cs="Times New Roman"/>
          <w:sz w:val="26"/>
          <w:szCs w:val="26"/>
        </w:rPr>
        <w:t>-</w:t>
      </w:r>
      <w:r w:rsidR="001E3363">
        <w:rPr>
          <w:rFonts w:ascii="Times New Roman" w:hAnsi="Times New Roman" w:cs="Times New Roman"/>
          <w:sz w:val="26"/>
          <w:szCs w:val="26"/>
        </w:rPr>
        <w:t xml:space="preserve">in addition to the for cause removal protection the agency is not subject OMB </w:t>
      </w:r>
      <w:r w:rsidR="00A22AD0">
        <w:rPr>
          <w:rFonts w:ascii="Times New Roman" w:hAnsi="Times New Roman" w:cs="Times New Roman"/>
          <w:sz w:val="26"/>
          <w:szCs w:val="26"/>
        </w:rPr>
        <w:t xml:space="preserve">legislative </w:t>
      </w:r>
      <w:r w:rsidR="001E3363">
        <w:rPr>
          <w:rFonts w:ascii="Times New Roman" w:hAnsi="Times New Roman" w:cs="Times New Roman"/>
          <w:sz w:val="26"/>
          <w:szCs w:val="26"/>
        </w:rPr>
        <w:t xml:space="preserve">clearance and </w:t>
      </w:r>
      <w:r w:rsidR="0036069E">
        <w:rPr>
          <w:rFonts w:ascii="Times New Roman" w:hAnsi="Times New Roman" w:cs="Times New Roman"/>
          <w:sz w:val="26"/>
          <w:szCs w:val="26"/>
        </w:rPr>
        <w:t>apportionment requirements nor to congressional appropriations oversight</w:t>
      </w:r>
      <w:r w:rsidR="00A22AD0">
        <w:rPr>
          <w:rFonts w:ascii="Times New Roman" w:hAnsi="Times New Roman" w:cs="Times New Roman"/>
          <w:sz w:val="26"/>
          <w:szCs w:val="26"/>
        </w:rPr>
        <w:t xml:space="preserve"> because it is funded through the Federal Reserve System</w:t>
      </w:r>
      <w:r w:rsidR="0036069E">
        <w:rPr>
          <w:rFonts w:ascii="Times New Roman" w:hAnsi="Times New Roman" w:cs="Times New Roman"/>
          <w:sz w:val="26"/>
          <w:szCs w:val="26"/>
        </w:rPr>
        <w:t>—is contradicted by the possibility that an official subject to at-will presidential removal (the Treasury Secretary) would assume the policy development and enforcement powers for an indefinite period.</w:t>
      </w:r>
    </w:p>
    <w:p w:rsidR="0036069E" w:rsidRDefault="0036069E" w:rsidP="00544E21">
      <w:pPr>
        <w:spacing w:after="0" w:line="240" w:lineRule="auto"/>
        <w:rPr>
          <w:rFonts w:ascii="Times New Roman" w:hAnsi="Times New Roman" w:cs="Times New Roman"/>
          <w:sz w:val="26"/>
          <w:szCs w:val="26"/>
        </w:rPr>
      </w:pPr>
    </w:p>
    <w:p w:rsidR="0070612D" w:rsidRDefault="0036069E"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President Obama nominated Richard Cordray</w:t>
      </w:r>
      <w:r w:rsidR="002A121C">
        <w:rPr>
          <w:rFonts w:ascii="Times New Roman" w:hAnsi="Times New Roman" w:cs="Times New Roman"/>
          <w:sz w:val="26"/>
          <w:szCs w:val="26"/>
        </w:rPr>
        <w:t xml:space="preserve"> to be CFPB Director on July 18, 2011, three days before the transfer date,</w:t>
      </w:r>
      <w:r w:rsidR="002A121C">
        <w:rPr>
          <w:rStyle w:val="FootnoteReference"/>
          <w:rFonts w:ascii="Times New Roman" w:hAnsi="Times New Roman" w:cs="Times New Roman"/>
          <w:sz w:val="26"/>
          <w:szCs w:val="26"/>
        </w:rPr>
        <w:footnoteReference w:id="43"/>
      </w:r>
      <w:r w:rsidR="002A121C">
        <w:rPr>
          <w:rFonts w:ascii="Times New Roman" w:hAnsi="Times New Roman" w:cs="Times New Roman"/>
          <w:sz w:val="26"/>
          <w:szCs w:val="26"/>
        </w:rPr>
        <w:t xml:space="preserve"> </w:t>
      </w:r>
      <w:r w:rsidR="003640A1">
        <w:rPr>
          <w:rFonts w:ascii="Times New Roman" w:hAnsi="Times New Roman" w:cs="Times New Roman"/>
          <w:sz w:val="26"/>
          <w:szCs w:val="26"/>
        </w:rPr>
        <w:t>essentially a full</w:t>
      </w:r>
      <w:r w:rsidR="002A121C">
        <w:rPr>
          <w:rFonts w:ascii="Times New Roman" w:hAnsi="Times New Roman" w:cs="Times New Roman"/>
          <w:sz w:val="26"/>
          <w:szCs w:val="26"/>
        </w:rPr>
        <w:t xml:space="preserve"> year </w:t>
      </w:r>
      <w:r w:rsidR="003640A1">
        <w:rPr>
          <w:rFonts w:ascii="Times New Roman" w:hAnsi="Times New Roman" w:cs="Times New Roman"/>
          <w:sz w:val="26"/>
          <w:szCs w:val="26"/>
        </w:rPr>
        <w:t>after</w:t>
      </w:r>
      <w:r w:rsidR="002A121C">
        <w:rPr>
          <w:rFonts w:ascii="Times New Roman" w:hAnsi="Times New Roman" w:cs="Times New Roman"/>
          <w:sz w:val="26"/>
          <w:szCs w:val="26"/>
        </w:rPr>
        <w:t xml:space="preserve"> the DFA’s effective date</w:t>
      </w:r>
      <w:r w:rsidR="0092233E">
        <w:rPr>
          <w:rFonts w:ascii="Times New Roman" w:hAnsi="Times New Roman" w:cs="Times New Roman"/>
          <w:sz w:val="26"/>
          <w:szCs w:val="26"/>
        </w:rPr>
        <w:t xml:space="preserve">. </w:t>
      </w:r>
      <w:r w:rsidR="005763B7">
        <w:rPr>
          <w:rFonts w:ascii="Times New Roman" w:hAnsi="Times New Roman" w:cs="Times New Roman"/>
          <w:sz w:val="26"/>
          <w:szCs w:val="26"/>
        </w:rPr>
        <w:t xml:space="preserve">The nomination never received floor consideration. </w:t>
      </w:r>
      <w:r w:rsidR="0092233E">
        <w:rPr>
          <w:rFonts w:ascii="Times New Roman" w:hAnsi="Times New Roman" w:cs="Times New Roman"/>
          <w:sz w:val="26"/>
          <w:szCs w:val="26"/>
        </w:rPr>
        <w:t>The Secretary assumed the limited substantive duties of the Director on July 21</w:t>
      </w:r>
      <w:r w:rsidR="003640A1">
        <w:rPr>
          <w:rFonts w:ascii="Times New Roman" w:hAnsi="Times New Roman" w:cs="Times New Roman"/>
          <w:sz w:val="26"/>
          <w:szCs w:val="26"/>
        </w:rPr>
        <w:t xml:space="preserve"> </w:t>
      </w:r>
      <w:r w:rsidR="0092233E">
        <w:rPr>
          <w:rFonts w:ascii="Times New Roman" w:hAnsi="Times New Roman" w:cs="Times New Roman"/>
          <w:sz w:val="26"/>
          <w:szCs w:val="26"/>
        </w:rPr>
        <w:t xml:space="preserve">and continued to perform them until Mr. Cordray’s recess appointment on January 4, 2012. </w:t>
      </w:r>
      <w:r w:rsidR="003D381B">
        <w:rPr>
          <w:rFonts w:ascii="Times New Roman" w:hAnsi="Times New Roman" w:cs="Times New Roman"/>
          <w:sz w:val="26"/>
          <w:szCs w:val="26"/>
        </w:rPr>
        <w:t xml:space="preserve">If Cordray’s recess appointment is declared unconstitutional there could be serious </w:t>
      </w:r>
      <w:proofErr w:type="gramStart"/>
      <w:r w:rsidR="003D381B">
        <w:rPr>
          <w:rFonts w:ascii="Times New Roman" w:hAnsi="Times New Roman" w:cs="Times New Roman"/>
          <w:sz w:val="26"/>
          <w:szCs w:val="26"/>
        </w:rPr>
        <w:t>remedial  and</w:t>
      </w:r>
      <w:proofErr w:type="gramEnd"/>
      <w:r w:rsidR="003D381B">
        <w:rPr>
          <w:rFonts w:ascii="Times New Roman" w:hAnsi="Times New Roman" w:cs="Times New Roman"/>
          <w:sz w:val="26"/>
          <w:szCs w:val="26"/>
        </w:rPr>
        <w:t xml:space="preserve"> administrative problems and consequences. </w:t>
      </w:r>
      <w:r w:rsidR="00460664">
        <w:rPr>
          <w:rFonts w:ascii="Times New Roman" w:hAnsi="Times New Roman" w:cs="Times New Roman"/>
          <w:sz w:val="26"/>
          <w:szCs w:val="26"/>
        </w:rPr>
        <w:t xml:space="preserve">The first question that will arise is whether any of Cordray’s substantive actions taken during his tenure will survive. As is more fully discussed below, it is likely, but not certain, that the </w:t>
      </w:r>
      <w:r w:rsidR="00460664">
        <w:rPr>
          <w:rFonts w:ascii="Times New Roman" w:hAnsi="Times New Roman" w:cs="Times New Roman"/>
          <w:i/>
          <w:sz w:val="26"/>
          <w:szCs w:val="26"/>
        </w:rPr>
        <w:t xml:space="preserve">de facto </w:t>
      </w:r>
      <w:r w:rsidR="00460664">
        <w:rPr>
          <w:rFonts w:ascii="Times New Roman" w:hAnsi="Times New Roman" w:cs="Times New Roman"/>
          <w:sz w:val="26"/>
          <w:szCs w:val="26"/>
        </w:rPr>
        <w:t xml:space="preserve">doctrine will be invoked to validate them. The next question </w:t>
      </w:r>
      <w:r w:rsidR="00A22AD0">
        <w:rPr>
          <w:rFonts w:ascii="Times New Roman" w:hAnsi="Times New Roman" w:cs="Times New Roman"/>
          <w:sz w:val="26"/>
          <w:szCs w:val="26"/>
        </w:rPr>
        <w:t xml:space="preserve">will be </w:t>
      </w:r>
      <w:r w:rsidR="00865146">
        <w:rPr>
          <w:rFonts w:ascii="Times New Roman" w:hAnsi="Times New Roman" w:cs="Times New Roman"/>
          <w:sz w:val="26"/>
          <w:szCs w:val="26"/>
        </w:rPr>
        <w:t>what actions will be necessary and permissible to continue CFPB’s operation. A new nomination will be certainly be necessary.</w:t>
      </w:r>
      <w:r w:rsidR="00865146">
        <w:rPr>
          <w:rStyle w:val="FootnoteReference"/>
          <w:rFonts w:ascii="Times New Roman" w:hAnsi="Times New Roman" w:cs="Times New Roman"/>
          <w:sz w:val="26"/>
          <w:szCs w:val="26"/>
        </w:rPr>
        <w:footnoteReference w:id="44"/>
      </w:r>
      <w:r w:rsidR="003D381B">
        <w:rPr>
          <w:rFonts w:ascii="Times New Roman" w:hAnsi="Times New Roman" w:cs="Times New Roman"/>
          <w:sz w:val="26"/>
          <w:szCs w:val="26"/>
        </w:rPr>
        <w:t xml:space="preserve"> </w:t>
      </w:r>
      <w:r w:rsidR="006042A7">
        <w:rPr>
          <w:rFonts w:ascii="Times New Roman" w:hAnsi="Times New Roman" w:cs="Times New Roman"/>
          <w:sz w:val="26"/>
          <w:szCs w:val="26"/>
        </w:rPr>
        <w:t xml:space="preserve">But the government may argue that to avoid a long hiatus that may result from a </w:t>
      </w:r>
      <w:proofErr w:type="gramStart"/>
      <w:r w:rsidR="006042A7">
        <w:rPr>
          <w:rFonts w:ascii="Times New Roman" w:hAnsi="Times New Roman" w:cs="Times New Roman"/>
          <w:sz w:val="26"/>
          <w:szCs w:val="26"/>
        </w:rPr>
        <w:t>controverted  appointment</w:t>
      </w:r>
      <w:proofErr w:type="gramEnd"/>
      <w:r w:rsidR="006042A7">
        <w:rPr>
          <w:rFonts w:ascii="Times New Roman" w:hAnsi="Times New Roman" w:cs="Times New Roman"/>
          <w:sz w:val="26"/>
          <w:szCs w:val="26"/>
        </w:rPr>
        <w:t xml:space="preserve"> process, administrative duties should be allowed to revert to the Treasury Secretary. That course, however, will </w:t>
      </w:r>
      <w:r w:rsidR="0070612D">
        <w:rPr>
          <w:rFonts w:ascii="Times New Roman" w:hAnsi="Times New Roman" w:cs="Times New Roman"/>
          <w:sz w:val="26"/>
          <w:szCs w:val="26"/>
        </w:rPr>
        <w:t xml:space="preserve">directly </w:t>
      </w:r>
      <w:r w:rsidR="006042A7">
        <w:rPr>
          <w:rFonts w:ascii="Times New Roman" w:hAnsi="Times New Roman" w:cs="Times New Roman"/>
          <w:sz w:val="26"/>
          <w:szCs w:val="26"/>
        </w:rPr>
        <w:t>raise the question whether Section 1066</w:t>
      </w:r>
      <w:r w:rsidR="005763B7">
        <w:rPr>
          <w:rFonts w:ascii="Times New Roman" w:hAnsi="Times New Roman" w:cs="Times New Roman"/>
          <w:sz w:val="26"/>
          <w:szCs w:val="26"/>
        </w:rPr>
        <w:t>(a</w:t>
      </w:r>
      <w:proofErr w:type="gramStart"/>
      <w:r w:rsidR="005763B7">
        <w:rPr>
          <w:rFonts w:ascii="Times New Roman" w:hAnsi="Times New Roman" w:cs="Times New Roman"/>
          <w:sz w:val="26"/>
          <w:szCs w:val="26"/>
        </w:rPr>
        <w:t xml:space="preserve">) </w:t>
      </w:r>
      <w:r w:rsidR="006042A7">
        <w:rPr>
          <w:rFonts w:ascii="Times New Roman" w:hAnsi="Times New Roman" w:cs="Times New Roman"/>
          <w:sz w:val="26"/>
          <w:szCs w:val="26"/>
        </w:rPr>
        <w:t xml:space="preserve"> actually</w:t>
      </w:r>
      <w:proofErr w:type="gramEnd"/>
      <w:r w:rsidR="006042A7">
        <w:rPr>
          <w:rFonts w:ascii="Times New Roman" w:hAnsi="Times New Roman" w:cs="Times New Roman"/>
          <w:sz w:val="26"/>
          <w:szCs w:val="26"/>
        </w:rPr>
        <w:t xml:space="preserve"> authorizes</w:t>
      </w:r>
      <w:r w:rsidR="0070612D">
        <w:rPr>
          <w:rFonts w:ascii="Times New Roman" w:hAnsi="Times New Roman" w:cs="Times New Roman"/>
          <w:sz w:val="26"/>
          <w:szCs w:val="26"/>
        </w:rPr>
        <w:t xml:space="preserve"> the Secretary to assume any of the Director’s statutorily vested duties and powers.</w:t>
      </w:r>
      <w:r w:rsidR="006042A7">
        <w:rPr>
          <w:rFonts w:ascii="Times New Roman" w:hAnsi="Times New Roman" w:cs="Times New Roman"/>
          <w:sz w:val="26"/>
          <w:szCs w:val="26"/>
        </w:rPr>
        <w:t xml:space="preserve"> </w:t>
      </w:r>
      <w:r w:rsidR="0070612D">
        <w:rPr>
          <w:rFonts w:ascii="Times New Roman" w:hAnsi="Times New Roman" w:cs="Times New Roman"/>
          <w:sz w:val="26"/>
          <w:szCs w:val="26"/>
        </w:rPr>
        <w:t xml:space="preserve">Since the </w:t>
      </w:r>
      <w:r w:rsidR="00533AFD">
        <w:rPr>
          <w:rFonts w:ascii="Times New Roman" w:hAnsi="Times New Roman" w:cs="Times New Roman"/>
          <w:sz w:val="26"/>
          <w:szCs w:val="26"/>
        </w:rPr>
        <w:t xml:space="preserve">Federal </w:t>
      </w:r>
      <w:r w:rsidR="0070612D">
        <w:rPr>
          <w:rFonts w:ascii="Times New Roman" w:hAnsi="Times New Roman" w:cs="Times New Roman"/>
          <w:sz w:val="26"/>
          <w:szCs w:val="26"/>
        </w:rPr>
        <w:t>Vacancies Reform Act of 1998 does cover new offices for which there never was a valid incumbent,</w:t>
      </w:r>
      <w:r w:rsidR="000A428D">
        <w:rPr>
          <w:rStyle w:val="FootnoteReference"/>
          <w:rFonts w:ascii="Times New Roman" w:hAnsi="Times New Roman" w:cs="Times New Roman"/>
          <w:sz w:val="26"/>
          <w:szCs w:val="26"/>
        </w:rPr>
        <w:footnoteReference w:id="45"/>
      </w:r>
      <w:r w:rsidR="0070612D">
        <w:rPr>
          <w:rFonts w:ascii="Times New Roman" w:hAnsi="Times New Roman" w:cs="Times New Roman"/>
          <w:sz w:val="26"/>
          <w:szCs w:val="26"/>
        </w:rPr>
        <w:t xml:space="preserve"> there is a likelihood of a</w:t>
      </w:r>
      <w:r w:rsidR="00533AFD">
        <w:rPr>
          <w:rFonts w:ascii="Times New Roman" w:hAnsi="Times New Roman" w:cs="Times New Roman"/>
          <w:sz w:val="26"/>
          <w:szCs w:val="26"/>
        </w:rPr>
        <w:t xml:space="preserve"> lengthy period of an</w:t>
      </w:r>
      <w:r w:rsidR="0070612D">
        <w:rPr>
          <w:rFonts w:ascii="Times New Roman" w:hAnsi="Times New Roman" w:cs="Times New Roman"/>
          <w:sz w:val="26"/>
          <w:szCs w:val="26"/>
        </w:rPr>
        <w:t xml:space="preserve"> inoperative CFPB.</w:t>
      </w:r>
    </w:p>
    <w:p w:rsidR="0070612D" w:rsidRDefault="0070612D" w:rsidP="00544E21">
      <w:pPr>
        <w:spacing w:after="0" w:line="240" w:lineRule="auto"/>
        <w:rPr>
          <w:rFonts w:ascii="Times New Roman" w:hAnsi="Times New Roman" w:cs="Times New Roman"/>
          <w:sz w:val="26"/>
          <w:szCs w:val="26"/>
        </w:rPr>
      </w:pPr>
    </w:p>
    <w:p w:rsidR="00AD7FEE" w:rsidRDefault="0070612D"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A second instance </w:t>
      </w:r>
      <w:r w:rsidR="00622D59">
        <w:rPr>
          <w:rFonts w:ascii="Times New Roman" w:hAnsi="Times New Roman" w:cs="Times New Roman"/>
          <w:sz w:val="26"/>
          <w:szCs w:val="26"/>
        </w:rPr>
        <w:t xml:space="preserve">of </w:t>
      </w:r>
      <w:r w:rsidR="004F0A28">
        <w:rPr>
          <w:rFonts w:ascii="Times New Roman" w:hAnsi="Times New Roman" w:cs="Times New Roman"/>
          <w:sz w:val="26"/>
          <w:szCs w:val="26"/>
        </w:rPr>
        <w:t xml:space="preserve">the failure of the President to submit a timely nomination for an important advice and consent position concerns the Office of the Director of the Federal Housing Finance Agency (FHFA). FHFA is an independent agency established by the </w:t>
      </w:r>
      <w:r w:rsidR="00EF1E0E">
        <w:rPr>
          <w:rFonts w:ascii="Times New Roman" w:hAnsi="Times New Roman" w:cs="Times New Roman"/>
          <w:sz w:val="26"/>
          <w:szCs w:val="26"/>
        </w:rPr>
        <w:t>H</w:t>
      </w:r>
      <w:r w:rsidR="004F0A28">
        <w:rPr>
          <w:rFonts w:ascii="Times New Roman" w:hAnsi="Times New Roman" w:cs="Times New Roman"/>
          <w:sz w:val="26"/>
          <w:szCs w:val="26"/>
        </w:rPr>
        <w:t>ousing and Ec</w:t>
      </w:r>
      <w:r w:rsidR="00EF1E0E">
        <w:rPr>
          <w:rFonts w:ascii="Times New Roman" w:hAnsi="Times New Roman" w:cs="Times New Roman"/>
          <w:sz w:val="26"/>
          <w:szCs w:val="26"/>
        </w:rPr>
        <w:t>o</w:t>
      </w:r>
      <w:r w:rsidR="004F0A28">
        <w:rPr>
          <w:rFonts w:ascii="Times New Roman" w:hAnsi="Times New Roman" w:cs="Times New Roman"/>
          <w:sz w:val="26"/>
          <w:szCs w:val="26"/>
        </w:rPr>
        <w:t>nomic Recovery Act of 2008 (HERA)</w:t>
      </w:r>
      <w:r w:rsidR="00EF1E0E">
        <w:rPr>
          <w:rStyle w:val="FootnoteReference"/>
          <w:rFonts w:ascii="Times New Roman" w:hAnsi="Times New Roman" w:cs="Times New Roman"/>
          <w:sz w:val="26"/>
          <w:szCs w:val="26"/>
        </w:rPr>
        <w:footnoteReference w:id="46"/>
      </w:r>
      <w:r w:rsidR="00EF1E0E">
        <w:rPr>
          <w:rFonts w:ascii="Times New Roman" w:hAnsi="Times New Roman" w:cs="Times New Roman"/>
          <w:sz w:val="26"/>
          <w:szCs w:val="26"/>
        </w:rPr>
        <w:t xml:space="preserve"> with broad authority and powers to oversee and regulate the components of the Nation’s secondary mortgage markets: Fannie Mae, Freddie Mac and the Office of Finance of the Federal Home </w:t>
      </w:r>
      <w:r w:rsidR="00B23589">
        <w:rPr>
          <w:rFonts w:ascii="Times New Roman" w:hAnsi="Times New Roman" w:cs="Times New Roman"/>
          <w:sz w:val="26"/>
          <w:szCs w:val="26"/>
        </w:rPr>
        <w:t>L</w:t>
      </w:r>
      <w:r w:rsidR="00EF1E0E">
        <w:rPr>
          <w:rFonts w:ascii="Times New Roman" w:hAnsi="Times New Roman" w:cs="Times New Roman"/>
          <w:sz w:val="26"/>
          <w:szCs w:val="26"/>
        </w:rPr>
        <w:t xml:space="preserve">oan Bank System. FHFA is to be headed by a Director with encompassing supervisory and regulatory authority over these entities and extraordinary independence from executive </w:t>
      </w:r>
      <w:r w:rsidR="00EF1E0E">
        <w:rPr>
          <w:rFonts w:ascii="Times New Roman" w:hAnsi="Times New Roman" w:cs="Times New Roman"/>
          <w:sz w:val="26"/>
          <w:szCs w:val="26"/>
        </w:rPr>
        <w:lastRenderedPageBreak/>
        <w:t>and congressional control and influence.</w:t>
      </w:r>
      <w:r w:rsidR="00A22AD0">
        <w:rPr>
          <w:rStyle w:val="FootnoteReference"/>
          <w:rFonts w:ascii="Times New Roman" w:hAnsi="Times New Roman" w:cs="Times New Roman"/>
          <w:sz w:val="26"/>
          <w:szCs w:val="26"/>
        </w:rPr>
        <w:footnoteReference w:id="47"/>
      </w:r>
      <w:r w:rsidR="00EF1E0E">
        <w:rPr>
          <w:rFonts w:ascii="Times New Roman" w:hAnsi="Times New Roman" w:cs="Times New Roman"/>
          <w:sz w:val="26"/>
          <w:szCs w:val="26"/>
        </w:rPr>
        <w:t xml:space="preserve"> The Director is to be appointed by the President with the advice and consent of the Senate for a </w:t>
      </w:r>
      <w:proofErr w:type="gramStart"/>
      <w:r w:rsidR="00EF1E0E">
        <w:rPr>
          <w:rFonts w:ascii="Times New Roman" w:hAnsi="Times New Roman" w:cs="Times New Roman"/>
          <w:sz w:val="26"/>
          <w:szCs w:val="26"/>
        </w:rPr>
        <w:t>five year</w:t>
      </w:r>
      <w:proofErr w:type="gramEnd"/>
      <w:r w:rsidR="00EF1E0E">
        <w:rPr>
          <w:rFonts w:ascii="Times New Roman" w:hAnsi="Times New Roman" w:cs="Times New Roman"/>
          <w:sz w:val="26"/>
          <w:szCs w:val="26"/>
        </w:rPr>
        <w:t xml:space="preserve"> term</w:t>
      </w:r>
      <w:r w:rsidR="00B23589">
        <w:rPr>
          <w:rFonts w:ascii="Times New Roman" w:hAnsi="Times New Roman" w:cs="Times New Roman"/>
          <w:sz w:val="26"/>
          <w:szCs w:val="26"/>
        </w:rPr>
        <w:t xml:space="preserve"> and is </w:t>
      </w:r>
      <w:r w:rsidR="00EF1E0E">
        <w:rPr>
          <w:rFonts w:ascii="Times New Roman" w:hAnsi="Times New Roman" w:cs="Times New Roman"/>
          <w:sz w:val="26"/>
          <w:szCs w:val="26"/>
        </w:rPr>
        <w:t xml:space="preserve">removable by the President only for cause. </w:t>
      </w:r>
      <w:r w:rsidR="00AD7FEE">
        <w:rPr>
          <w:rFonts w:ascii="Times New Roman" w:hAnsi="Times New Roman" w:cs="Times New Roman"/>
          <w:sz w:val="26"/>
          <w:szCs w:val="26"/>
        </w:rPr>
        <w:t>HERA also provided for the abolition of three agencies that had served (ineffectively) as the predecessor overseers of the regulated entities, including the Office of Federal Housing Enterprise Oversight (OFHEO), and the transfer of their personnel to FHFA.</w:t>
      </w:r>
    </w:p>
    <w:p w:rsidR="00AD7FEE" w:rsidRDefault="00AD7FEE" w:rsidP="00544E21">
      <w:pPr>
        <w:spacing w:after="0" w:line="240" w:lineRule="auto"/>
        <w:rPr>
          <w:rFonts w:ascii="Times New Roman" w:hAnsi="Times New Roman" w:cs="Times New Roman"/>
          <w:sz w:val="26"/>
          <w:szCs w:val="26"/>
        </w:rPr>
      </w:pPr>
    </w:p>
    <w:p w:rsidR="00CB2499" w:rsidRDefault="00AD7FEE"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All substantive supervisory and regulatory powers and duties of FHFA are expressly vested in the Director. Also, </w:t>
      </w:r>
      <w:r w:rsidR="001156C2">
        <w:rPr>
          <w:rFonts w:ascii="Times New Roman" w:hAnsi="Times New Roman" w:cs="Times New Roman"/>
          <w:sz w:val="26"/>
          <w:szCs w:val="26"/>
        </w:rPr>
        <w:t>similar to the recognition of a need for prompt regulatory action in the situation of the future CFPB, HERA provided for an</w:t>
      </w:r>
      <w:r w:rsidR="00EF1E0E">
        <w:rPr>
          <w:rFonts w:ascii="Times New Roman" w:hAnsi="Times New Roman" w:cs="Times New Roman"/>
          <w:sz w:val="26"/>
          <w:szCs w:val="26"/>
        </w:rPr>
        <w:t xml:space="preserve"> </w:t>
      </w:r>
      <w:proofErr w:type="gramStart"/>
      <w:r w:rsidR="001156C2">
        <w:rPr>
          <w:rFonts w:ascii="Times New Roman" w:hAnsi="Times New Roman" w:cs="Times New Roman"/>
          <w:sz w:val="26"/>
          <w:szCs w:val="26"/>
        </w:rPr>
        <w:t xml:space="preserve">immediate </w:t>
      </w:r>
      <w:r w:rsidR="006C1296">
        <w:rPr>
          <w:rFonts w:ascii="Times New Roman" w:hAnsi="Times New Roman" w:cs="Times New Roman"/>
          <w:sz w:val="26"/>
          <w:szCs w:val="26"/>
        </w:rPr>
        <w:t xml:space="preserve"> start</w:t>
      </w:r>
      <w:proofErr w:type="gramEnd"/>
      <w:r w:rsidR="006C1296">
        <w:rPr>
          <w:rFonts w:ascii="Times New Roman" w:hAnsi="Times New Roman" w:cs="Times New Roman"/>
          <w:sz w:val="26"/>
          <w:szCs w:val="26"/>
        </w:rPr>
        <w:t xml:space="preserve"> up for FHFA. Unlike the </w:t>
      </w:r>
      <w:r w:rsidR="00B6034D">
        <w:rPr>
          <w:rFonts w:ascii="Times New Roman" w:hAnsi="Times New Roman" w:cs="Times New Roman"/>
          <w:sz w:val="26"/>
          <w:szCs w:val="26"/>
        </w:rPr>
        <w:t xml:space="preserve">opaque </w:t>
      </w:r>
      <w:r w:rsidR="006C1296">
        <w:rPr>
          <w:rFonts w:ascii="Times New Roman" w:hAnsi="Times New Roman" w:cs="Times New Roman"/>
          <w:sz w:val="26"/>
          <w:szCs w:val="26"/>
        </w:rPr>
        <w:t>CFPB</w:t>
      </w:r>
      <w:r w:rsidR="00B6034D">
        <w:rPr>
          <w:rFonts w:ascii="Times New Roman" w:hAnsi="Times New Roman" w:cs="Times New Roman"/>
          <w:sz w:val="26"/>
          <w:szCs w:val="26"/>
        </w:rPr>
        <w:t xml:space="preserve"> provision,</w:t>
      </w:r>
      <w:r w:rsidR="006C1296">
        <w:rPr>
          <w:rFonts w:ascii="Times New Roman" w:hAnsi="Times New Roman" w:cs="Times New Roman"/>
          <w:sz w:val="26"/>
          <w:szCs w:val="26"/>
        </w:rPr>
        <w:t xml:space="preserve"> the </w:t>
      </w:r>
      <w:r w:rsidR="00B6034D">
        <w:rPr>
          <w:rFonts w:ascii="Times New Roman" w:hAnsi="Times New Roman" w:cs="Times New Roman"/>
          <w:sz w:val="26"/>
          <w:szCs w:val="26"/>
        </w:rPr>
        <w:t xml:space="preserve">HERA </w:t>
      </w:r>
      <w:r w:rsidR="006C1296">
        <w:rPr>
          <w:rFonts w:ascii="Times New Roman" w:hAnsi="Times New Roman" w:cs="Times New Roman"/>
          <w:sz w:val="26"/>
          <w:szCs w:val="26"/>
        </w:rPr>
        <w:t xml:space="preserve">mandate was express and unequivocal, providing that “during the period beginning of the effective date of [HERA], and ending on the date on which the Director is appointed and confirmed, the person serving as the Director of [OFHEO] on that effective date shall act for all purposes as, and with the full </w:t>
      </w:r>
      <w:proofErr w:type="gramStart"/>
      <w:r w:rsidR="006C1296">
        <w:rPr>
          <w:rFonts w:ascii="Times New Roman" w:hAnsi="Times New Roman" w:cs="Times New Roman"/>
          <w:sz w:val="26"/>
          <w:szCs w:val="26"/>
        </w:rPr>
        <w:t>powers  of</w:t>
      </w:r>
      <w:proofErr w:type="gramEnd"/>
      <w:r w:rsidR="006C1296">
        <w:rPr>
          <w:rFonts w:ascii="Times New Roman" w:hAnsi="Times New Roman" w:cs="Times New Roman"/>
          <w:sz w:val="26"/>
          <w:szCs w:val="26"/>
        </w:rPr>
        <w:t>, the Director.”</w:t>
      </w:r>
      <w:r w:rsidR="006C1296">
        <w:rPr>
          <w:rStyle w:val="FootnoteReference"/>
          <w:rFonts w:ascii="Times New Roman" w:hAnsi="Times New Roman" w:cs="Times New Roman"/>
          <w:sz w:val="26"/>
          <w:szCs w:val="26"/>
        </w:rPr>
        <w:footnoteReference w:id="48"/>
      </w:r>
      <w:r w:rsidR="006C1296">
        <w:rPr>
          <w:rFonts w:ascii="Times New Roman" w:hAnsi="Times New Roman" w:cs="Times New Roman"/>
          <w:sz w:val="26"/>
          <w:szCs w:val="26"/>
        </w:rPr>
        <w:t xml:space="preserve"> </w:t>
      </w:r>
    </w:p>
    <w:p w:rsidR="00CB2499" w:rsidRDefault="00CB2499" w:rsidP="00544E21">
      <w:pPr>
        <w:spacing w:after="0" w:line="240" w:lineRule="auto"/>
        <w:rPr>
          <w:rFonts w:ascii="Times New Roman" w:hAnsi="Times New Roman" w:cs="Times New Roman"/>
          <w:sz w:val="26"/>
          <w:szCs w:val="26"/>
        </w:rPr>
      </w:pPr>
    </w:p>
    <w:p w:rsidR="00F45E21" w:rsidRDefault="00CB2499"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Since July 30, 2008, the effective date of HERA, a period in excess of four years, there has been no confirmed Director of FHFA. During that time </w:t>
      </w:r>
      <w:r w:rsidR="003640A1">
        <w:rPr>
          <w:rFonts w:ascii="Times New Roman" w:hAnsi="Times New Roman" w:cs="Times New Roman"/>
          <w:sz w:val="26"/>
          <w:szCs w:val="26"/>
        </w:rPr>
        <w:t>an</w:t>
      </w:r>
      <w:r>
        <w:rPr>
          <w:rFonts w:ascii="Times New Roman" w:hAnsi="Times New Roman" w:cs="Times New Roman"/>
          <w:sz w:val="26"/>
          <w:szCs w:val="26"/>
        </w:rPr>
        <w:t xml:space="preserve"> acting FHFA Director has, among other actions, placed Fannie Mae and Freddie Mac into conservatorship, disbursed over $150 billion in bailout funds to preserve the secondary mortgage market</w:t>
      </w:r>
      <w:r w:rsidR="002D42B0">
        <w:rPr>
          <w:rFonts w:ascii="Times New Roman" w:hAnsi="Times New Roman" w:cs="Times New Roman"/>
          <w:sz w:val="26"/>
          <w:szCs w:val="26"/>
        </w:rPr>
        <w:t>, paid over $100 million in legal expenses to defend security fraud claims by former entity officials, issued numerous substantive rules, one of which assured that even successful security fraud claims would not be paid by the entities</w:t>
      </w:r>
      <w:r w:rsidR="008D7A10">
        <w:rPr>
          <w:rFonts w:ascii="Times New Roman" w:hAnsi="Times New Roman" w:cs="Times New Roman"/>
          <w:sz w:val="26"/>
          <w:szCs w:val="26"/>
        </w:rPr>
        <w:t xml:space="preserve">, and filed a lawsuit </w:t>
      </w:r>
      <w:r w:rsidR="00B23589">
        <w:rPr>
          <w:rFonts w:ascii="Times New Roman" w:hAnsi="Times New Roman" w:cs="Times New Roman"/>
          <w:sz w:val="26"/>
          <w:szCs w:val="26"/>
        </w:rPr>
        <w:t>against 17 financial institutions and 131 of their officers and unaffiliated lead underwriters. The complaints charge violations of</w:t>
      </w:r>
      <w:r w:rsidR="00A22AD0">
        <w:rPr>
          <w:rFonts w:ascii="Times New Roman" w:hAnsi="Times New Roman" w:cs="Times New Roman"/>
          <w:sz w:val="26"/>
          <w:szCs w:val="26"/>
        </w:rPr>
        <w:t xml:space="preserve"> </w:t>
      </w:r>
      <w:r w:rsidR="00B23589">
        <w:rPr>
          <w:rFonts w:ascii="Times New Roman" w:hAnsi="Times New Roman" w:cs="Times New Roman"/>
          <w:sz w:val="26"/>
          <w:szCs w:val="26"/>
        </w:rPr>
        <w:t xml:space="preserve">federal securities </w:t>
      </w:r>
      <w:proofErr w:type="gramStart"/>
      <w:r w:rsidR="00B23589">
        <w:rPr>
          <w:rFonts w:ascii="Times New Roman" w:hAnsi="Times New Roman" w:cs="Times New Roman"/>
          <w:sz w:val="26"/>
          <w:szCs w:val="26"/>
        </w:rPr>
        <w:t>laws  and</w:t>
      </w:r>
      <w:proofErr w:type="gramEnd"/>
      <w:r w:rsidR="00B23589">
        <w:rPr>
          <w:rFonts w:ascii="Times New Roman" w:hAnsi="Times New Roman" w:cs="Times New Roman"/>
          <w:sz w:val="26"/>
          <w:szCs w:val="26"/>
        </w:rPr>
        <w:t xml:space="preserve"> common law for misrepresentations in the sale of residential pr</w:t>
      </w:r>
      <w:r w:rsidR="00F45E21">
        <w:rPr>
          <w:rFonts w:ascii="Times New Roman" w:hAnsi="Times New Roman" w:cs="Times New Roman"/>
          <w:sz w:val="26"/>
          <w:szCs w:val="26"/>
        </w:rPr>
        <w:t>ivate-label mortgage backed securities.</w:t>
      </w:r>
    </w:p>
    <w:p w:rsidR="00F45E21" w:rsidRDefault="00F45E21" w:rsidP="00544E21">
      <w:pPr>
        <w:spacing w:after="0" w:line="240" w:lineRule="auto"/>
        <w:rPr>
          <w:rFonts w:ascii="Times New Roman" w:hAnsi="Times New Roman" w:cs="Times New Roman"/>
          <w:sz w:val="26"/>
          <w:szCs w:val="26"/>
        </w:rPr>
      </w:pPr>
    </w:p>
    <w:p w:rsidR="000809A3" w:rsidRDefault="00F45E21"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2D42B0">
        <w:rPr>
          <w:rFonts w:ascii="Times New Roman" w:hAnsi="Times New Roman" w:cs="Times New Roman"/>
          <w:sz w:val="26"/>
          <w:szCs w:val="26"/>
        </w:rPr>
        <w:t xml:space="preserve">The first acting Director, the then incumbent OFHEO Director, </w:t>
      </w:r>
      <w:r w:rsidR="005F0A59">
        <w:rPr>
          <w:rFonts w:ascii="Times New Roman" w:hAnsi="Times New Roman" w:cs="Times New Roman"/>
          <w:sz w:val="26"/>
          <w:szCs w:val="26"/>
        </w:rPr>
        <w:t xml:space="preserve">served until his </w:t>
      </w:r>
      <w:proofErr w:type="gramStart"/>
      <w:r w:rsidR="005F0A59">
        <w:rPr>
          <w:rFonts w:ascii="Times New Roman" w:hAnsi="Times New Roman" w:cs="Times New Roman"/>
          <w:sz w:val="26"/>
          <w:szCs w:val="26"/>
        </w:rPr>
        <w:t>resignation  on</w:t>
      </w:r>
      <w:proofErr w:type="gramEnd"/>
      <w:r w:rsidR="005F0A59">
        <w:rPr>
          <w:rFonts w:ascii="Times New Roman" w:hAnsi="Times New Roman" w:cs="Times New Roman"/>
          <w:sz w:val="26"/>
          <w:szCs w:val="26"/>
        </w:rPr>
        <w:t xml:space="preserve"> August 25, 2009. On that date, pursuant to a HERA provision that allows the President to “designate” one of the FHFA deputy </w:t>
      </w:r>
      <w:proofErr w:type="gramStart"/>
      <w:r w:rsidR="005F0A59">
        <w:rPr>
          <w:rFonts w:ascii="Times New Roman" w:hAnsi="Times New Roman" w:cs="Times New Roman"/>
          <w:sz w:val="26"/>
          <w:szCs w:val="26"/>
        </w:rPr>
        <w:t>directors  as</w:t>
      </w:r>
      <w:proofErr w:type="gramEnd"/>
      <w:r w:rsidR="005F0A59">
        <w:rPr>
          <w:rFonts w:ascii="Times New Roman" w:hAnsi="Times New Roman" w:cs="Times New Roman"/>
          <w:sz w:val="26"/>
          <w:szCs w:val="26"/>
        </w:rPr>
        <w:t xml:space="preserve"> the acting Director “[i]n the event of the death, resignation, sickness or absence of </w:t>
      </w:r>
      <w:r w:rsidR="005F0A59">
        <w:rPr>
          <w:rFonts w:ascii="Times New Roman" w:hAnsi="Times New Roman" w:cs="Times New Roman"/>
          <w:i/>
          <w:sz w:val="26"/>
          <w:szCs w:val="26"/>
        </w:rPr>
        <w:t xml:space="preserve">the Director” </w:t>
      </w:r>
      <w:r w:rsidR="005F0A59">
        <w:rPr>
          <w:rFonts w:ascii="Times New Roman" w:hAnsi="Times New Roman" w:cs="Times New Roman"/>
          <w:sz w:val="26"/>
          <w:szCs w:val="26"/>
        </w:rPr>
        <w:t>until the appointment and confirmation of a new Director</w:t>
      </w:r>
      <w:r w:rsidR="005F0A59">
        <w:rPr>
          <w:rStyle w:val="FootnoteReference"/>
          <w:rFonts w:ascii="Times New Roman" w:hAnsi="Times New Roman" w:cs="Times New Roman"/>
          <w:sz w:val="26"/>
          <w:szCs w:val="26"/>
        </w:rPr>
        <w:footnoteReference w:id="49"/>
      </w:r>
      <w:r w:rsidR="005F0A59">
        <w:rPr>
          <w:rFonts w:ascii="Times New Roman" w:hAnsi="Times New Roman" w:cs="Times New Roman"/>
          <w:sz w:val="26"/>
          <w:szCs w:val="26"/>
        </w:rPr>
        <w:t xml:space="preserve">, </w:t>
      </w:r>
      <w:r w:rsidR="000E5EA3">
        <w:rPr>
          <w:rFonts w:ascii="Times New Roman" w:hAnsi="Times New Roman" w:cs="Times New Roman"/>
          <w:sz w:val="26"/>
          <w:szCs w:val="26"/>
        </w:rPr>
        <w:t xml:space="preserve">the Chief </w:t>
      </w:r>
      <w:r>
        <w:rPr>
          <w:rFonts w:ascii="Times New Roman" w:hAnsi="Times New Roman" w:cs="Times New Roman"/>
          <w:sz w:val="26"/>
          <w:szCs w:val="26"/>
        </w:rPr>
        <w:t>E</w:t>
      </w:r>
      <w:r w:rsidR="000E5EA3">
        <w:rPr>
          <w:rFonts w:ascii="Times New Roman" w:hAnsi="Times New Roman" w:cs="Times New Roman"/>
          <w:sz w:val="26"/>
          <w:szCs w:val="26"/>
        </w:rPr>
        <w:t xml:space="preserve">xecutive selected Edward DeMarco. Mr. Demarco has now served for three years as the acting Director. On November 25, 2010, President Obama submitted the nomination of Joseph A. Smith, Jr.  </w:t>
      </w:r>
      <w:proofErr w:type="gramStart"/>
      <w:r w:rsidR="00CE5812">
        <w:rPr>
          <w:rFonts w:ascii="Times New Roman" w:hAnsi="Times New Roman" w:cs="Times New Roman"/>
          <w:sz w:val="26"/>
          <w:szCs w:val="26"/>
        </w:rPr>
        <w:t>to</w:t>
      </w:r>
      <w:proofErr w:type="gramEnd"/>
      <w:r w:rsidR="00CE5812">
        <w:rPr>
          <w:rFonts w:ascii="Times New Roman" w:hAnsi="Times New Roman" w:cs="Times New Roman"/>
          <w:sz w:val="26"/>
          <w:szCs w:val="26"/>
        </w:rPr>
        <w:t xml:space="preserve"> fill the position</w:t>
      </w:r>
      <w:r w:rsidR="000E5EA3">
        <w:rPr>
          <w:rFonts w:ascii="Times New Roman" w:hAnsi="Times New Roman" w:cs="Times New Roman"/>
          <w:sz w:val="26"/>
          <w:szCs w:val="26"/>
        </w:rPr>
        <w:t>. Following a</w:t>
      </w:r>
      <w:r>
        <w:rPr>
          <w:rFonts w:ascii="Times New Roman" w:hAnsi="Times New Roman" w:cs="Times New Roman"/>
          <w:sz w:val="26"/>
          <w:szCs w:val="26"/>
        </w:rPr>
        <w:t xml:space="preserve"> Senate </w:t>
      </w:r>
      <w:r w:rsidR="000E5EA3">
        <w:rPr>
          <w:rFonts w:ascii="Times New Roman" w:hAnsi="Times New Roman" w:cs="Times New Roman"/>
          <w:sz w:val="26"/>
          <w:szCs w:val="26"/>
        </w:rPr>
        <w:t xml:space="preserve">committee vote to report the nomination favorably, no floor action was taken and, on the </w:t>
      </w:r>
      <w:r w:rsidR="000E5EA3">
        <w:rPr>
          <w:rFonts w:ascii="Times New Roman" w:hAnsi="Times New Roman" w:cs="Times New Roman"/>
          <w:i/>
          <w:sz w:val="26"/>
          <w:szCs w:val="26"/>
        </w:rPr>
        <w:t xml:space="preserve">sine die </w:t>
      </w:r>
      <w:r w:rsidR="000E5EA3">
        <w:rPr>
          <w:rFonts w:ascii="Times New Roman" w:hAnsi="Times New Roman" w:cs="Times New Roman"/>
          <w:sz w:val="26"/>
          <w:szCs w:val="26"/>
        </w:rPr>
        <w:t xml:space="preserve">adjournment </w:t>
      </w:r>
      <w:proofErr w:type="gramStart"/>
      <w:r w:rsidR="000E5EA3">
        <w:rPr>
          <w:rFonts w:ascii="Times New Roman" w:hAnsi="Times New Roman" w:cs="Times New Roman"/>
          <w:sz w:val="26"/>
          <w:szCs w:val="26"/>
        </w:rPr>
        <w:t>of  the</w:t>
      </w:r>
      <w:proofErr w:type="gramEnd"/>
      <w:r w:rsidR="000E5EA3">
        <w:rPr>
          <w:rFonts w:ascii="Times New Roman" w:hAnsi="Times New Roman" w:cs="Times New Roman"/>
          <w:sz w:val="26"/>
          <w:szCs w:val="26"/>
        </w:rPr>
        <w:t xml:space="preserve"> 111</w:t>
      </w:r>
      <w:r w:rsidR="000E5EA3" w:rsidRPr="000E5EA3">
        <w:rPr>
          <w:rFonts w:ascii="Times New Roman" w:hAnsi="Times New Roman" w:cs="Times New Roman"/>
          <w:sz w:val="26"/>
          <w:szCs w:val="26"/>
          <w:vertAlign w:val="superscript"/>
        </w:rPr>
        <w:t>th</w:t>
      </w:r>
      <w:r w:rsidR="000E5EA3">
        <w:rPr>
          <w:rFonts w:ascii="Times New Roman" w:hAnsi="Times New Roman" w:cs="Times New Roman"/>
          <w:sz w:val="26"/>
          <w:szCs w:val="26"/>
        </w:rPr>
        <w:t xml:space="preserve"> Congress, the nomination was returned to the President. </w:t>
      </w:r>
      <w:proofErr w:type="gramStart"/>
      <w:r w:rsidR="000E5EA3">
        <w:rPr>
          <w:rFonts w:ascii="Times New Roman" w:hAnsi="Times New Roman" w:cs="Times New Roman"/>
          <w:sz w:val="26"/>
          <w:szCs w:val="26"/>
        </w:rPr>
        <w:t xml:space="preserve">No further nomination for the </w:t>
      </w:r>
      <w:r w:rsidR="000E5EA3">
        <w:rPr>
          <w:rFonts w:ascii="Times New Roman" w:hAnsi="Times New Roman" w:cs="Times New Roman"/>
          <w:sz w:val="26"/>
          <w:szCs w:val="26"/>
        </w:rPr>
        <w:lastRenderedPageBreak/>
        <w:t xml:space="preserve">position has been sent up by the </w:t>
      </w:r>
      <w:r w:rsidR="008D7A10">
        <w:rPr>
          <w:rFonts w:ascii="Times New Roman" w:hAnsi="Times New Roman" w:cs="Times New Roman"/>
          <w:sz w:val="26"/>
          <w:szCs w:val="26"/>
        </w:rPr>
        <w:t>P</w:t>
      </w:r>
      <w:r w:rsidR="000E5EA3">
        <w:rPr>
          <w:rFonts w:ascii="Times New Roman" w:hAnsi="Times New Roman" w:cs="Times New Roman"/>
          <w:sz w:val="26"/>
          <w:szCs w:val="26"/>
        </w:rPr>
        <w:t>resident</w:t>
      </w:r>
      <w:proofErr w:type="gramEnd"/>
      <w:r w:rsidR="008D7A10">
        <w:rPr>
          <w:rFonts w:ascii="Times New Roman" w:hAnsi="Times New Roman" w:cs="Times New Roman"/>
          <w:sz w:val="26"/>
          <w:szCs w:val="26"/>
        </w:rPr>
        <w:t xml:space="preserve"> since the convening of the 112</w:t>
      </w:r>
      <w:r w:rsidR="008D7A10" w:rsidRPr="008D7A10">
        <w:rPr>
          <w:rFonts w:ascii="Times New Roman" w:hAnsi="Times New Roman" w:cs="Times New Roman"/>
          <w:sz w:val="26"/>
          <w:szCs w:val="26"/>
          <w:vertAlign w:val="superscript"/>
        </w:rPr>
        <w:t>th</w:t>
      </w:r>
      <w:r w:rsidR="008D7A10">
        <w:rPr>
          <w:rFonts w:ascii="Times New Roman" w:hAnsi="Times New Roman" w:cs="Times New Roman"/>
          <w:sz w:val="26"/>
          <w:szCs w:val="26"/>
        </w:rPr>
        <w:t xml:space="preserve"> Congress, a period of over 20 months.</w:t>
      </w:r>
      <w:r w:rsidR="000E5EA3">
        <w:rPr>
          <w:rFonts w:ascii="Times New Roman" w:hAnsi="Times New Roman" w:cs="Times New Roman"/>
          <w:sz w:val="26"/>
          <w:szCs w:val="26"/>
        </w:rPr>
        <w:t xml:space="preserve"> </w:t>
      </w:r>
    </w:p>
    <w:p w:rsidR="009221E8" w:rsidRDefault="009221E8" w:rsidP="00544E21">
      <w:pPr>
        <w:spacing w:after="0" w:line="240" w:lineRule="auto"/>
        <w:rPr>
          <w:rFonts w:ascii="Times New Roman" w:hAnsi="Times New Roman" w:cs="Times New Roman"/>
          <w:sz w:val="26"/>
          <w:szCs w:val="26"/>
        </w:rPr>
      </w:pPr>
    </w:p>
    <w:p w:rsidR="00E57A7A" w:rsidRDefault="009221E8"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During his tenure</w:t>
      </w:r>
      <w:r w:rsidR="00DF66CD">
        <w:rPr>
          <w:rFonts w:ascii="Times New Roman" w:hAnsi="Times New Roman" w:cs="Times New Roman"/>
          <w:sz w:val="26"/>
          <w:szCs w:val="26"/>
        </w:rPr>
        <w:t xml:space="preserve"> Mr. DeMarco has been subject to criticism from congressional committees, the Treasury Department, the Inspector General for FHFA, and persons affected by </w:t>
      </w:r>
      <w:r w:rsidR="000D4607">
        <w:rPr>
          <w:rFonts w:ascii="Times New Roman" w:hAnsi="Times New Roman" w:cs="Times New Roman"/>
          <w:sz w:val="26"/>
          <w:szCs w:val="26"/>
        </w:rPr>
        <w:t xml:space="preserve">actions taken and not taken. </w:t>
      </w:r>
      <w:r w:rsidR="00474A8D">
        <w:rPr>
          <w:rFonts w:ascii="Times New Roman" w:hAnsi="Times New Roman" w:cs="Times New Roman"/>
          <w:sz w:val="26"/>
          <w:szCs w:val="26"/>
        </w:rPr>
        <w:t>Between August 2011 and</w:t>
      </w:r>
      <w:r w:rsidR="00954C95">
        <w:rPr>
          <w:rFonts w:ascii="Times New Roman" w:hAnsi="Times New Roman" w:cs="Times New Roman"/>
          <w:sz w:val="26"/>
          <w:szCs w:val="26"/>
        </w:rPr>
        <w:t xml:space="preserve"> March 2012 the FHFA Inspector General issued eight negative evaluations and audits </w:t>
      </w:r>
      <w:proofErr w:type="gramStart"/>
      <w:r w:rsidR="00954C95">
        <w:rPr>
          <w:rFonts w:ascii="Times New Roman" w:hAnsi="Times New Roman" w:cs="Times New Roman"/>
          <w:sz w:val="26"/>
          <w:szCs w:val="26"/>
        </w:rPr>
        <w:t>respecting  program</w:t>
      </w:r>
      <w:proofErr w:type="gramEnd"/>
      <w:r w:rsidR="00954C95">
        <w:rPr>
          <w:rFonts w:ascii="Times New Roman" w:hAnsi="Times New Roman" w:cs="Times New Roman"/>
          <w:sz w:val="26"/>
          <w:szCs w:val="26"/>
        </w:rPr>
        <w:t xml:space="preserve"> and operational problems and deficiencies. These included a finding that FHFA failed </w:t>
      </w:r>
      <w:r w:rsidR="0028425C">
        <w:rPr>
          <w:rFonts w:ascii="Times New Roman" w:hAnsi="Times New Roman" w:cs="Times New Roman"/>
          <w:sz w:val="26"/>
          <w:szCs w:val="26"/>
        </w:rPr>
        <w:t xml:space="preserve">to properly </w:t>
      </w:r>
      <w:r w:rsidR="00954C95">
        <w:rPr>
          <w:rFonts w:ascii="Times New Roman" w:hAnsi="Times New Roman" w:cs="Times New Roman"/>
          <w:sz w:val="26"/>
          <w:szCs w:val="26"/>
        </w:rPr>
        <w:t>oversee</w:t>
      </w:r>
      <w:r w:rsidR="0028425C">
        <w:rPr>
          <w:rFonts w:ascii="Times New Roman" w:hAnsi="Times New Roman" w:cs="Times New Roman"/>
          <w:sz w:val="26"/>
          <w:szCs w:val="26"/>
        </w:rPr>
        <w:t xml:space="preserve"> the Enterprises</w:t>
      </w:r>
      <w:r w:rsidR="00CE5812">
        <w:rPr>
          <w:rFonts w:ascii="Times New Roman" w:hAnsi="Times New Roman" w:cs="Times New Roman"/>
          <w:sz w:val="26"/>
          <w:szCs w:val="26"/>
        </w:rPr>
        <w:t>’</w:t>
      </w:r>
      <w:r w:rsidR="0028425C">
        <w:rPr>
          <w:rFonts w:ascii="Times New Roman" w:hAnsi="Times New Roman" w:cs="Times New Roman"/>
          <w:sz w:val="26"/>
          <w:szCs w:val="26"/>
        </w:rPr>
        <w:t xml:space="preserve"> participation in Treasury’s Home Affordable Modification Program (HAMP) which involves servicers agreeing to modify mortgages for borrowers facing imminent default or foreclosure which resulted</w:t>
      </w:r>
      <w:r w:rsidR="00181443">
        <w:rPr>
          <w:rFonts w:ascii="Times New Roman" w:hAnsi="Times New Roman" w:cs="Times New Roman"/>
          <w:sz w:val="26"/>
          <w:szCs w:val="26"/>
        </w:rPr>
        <w:t xml:space="preserve"> in the omission of significant details in the agreement between the Enterprises and servicers concerning payments to the Enterprises, the scope their responsibilities, and the processes to resolve differences. A second evaluation found that FHFA had not taken any decisive action to compel Fannie Mae to establish an effective operational risk management program “despite F</w:t>
      </w:r>
      <w:r w:rsidR="00DA629D">
        <w:rPr>
          <w:rFonts w:ascii="Times New Roman" w:hAnsi="Times New Roman" w:cs="Times New Roman"/>
          <w:sz w:val="26"/>
          <w:szCs w:val="26"/>
        </w:rPr>
        <w:t>annie</w:t>
      </w:r>
      <w:r w:rsidR="00181443">
        <w:rPr>
          <w:rFonts w:ascii="Times New Roman" w:hAnsi="Times New Roman" w:cs="Times New Roman"/>
          <w:sz w:val="26"/>
          <w:szCs w:val="26"/>
        </w:rPr>
        <w:t xml:space="preserve"> Mae’s </w:t>
      </w:r>
      <w:r w:rsidR="00DA629D">
        <w:rPr>
          <w:rFonts w:ascii="Times New Roman" w:hAnsi="Times New Roman" w:cs="Times New Roman"/>
          <w:sz w:val="26"/>
          <w:szCs w:val="26"/>
        </w:rPr>
        <w:t>continuing failure to do so being known to the regulators since 2006.</w:t>
      </w:r>
      <w:r w:rsidR="00CE5812">
        <w:rPr>
          <w:rFonts w:ascii="Times New Roman" w:hAnsi="Times New Roman" w:cs="Times New Roman"/>
          <w:sz w:val="26"/>
          <w:szCs w:val="26"/>
        </w:rPr>
        <w:t>”</w:t>
      </w:r>
      <w:r w:rsidR="00181443">
        <w:rPr>
          <w:rFonts w:ascii="Times New Roman" w:hAnsi="Times New Roman" w:cs="Times New Roman"/>
          <w:sz w:val="26"/>
          <w:szCs w:val="26"/>
        </w:rPr>
        <w:t xml:space="preserve"> </w:t>
      </w:r>
      <w:r w:rsidR="00DA629D">
        <w:rPr>
          <w:rFonts w:ascii="Times New Roman" w:hAnsi="Times New Roman" w:cs="Times New Roman"/>
          <w:sz w:val="26"/>
          <w:szCs w:val="26"/>
        </w:rPr>
        <w:t xml:space="preserve">Other evaluations found deficiencies in FHFA’s oversight </w:t>
      </w:r>
      <w:r w:rsidR="00A50DEA">
        <w:rPr>
          <w:rFonts w:ascii="Times New Roman" w:hAnsi="Times New Roman" w:cs="Times New Roman"/>
          <w:sz w:val="26"/>
          <w:szCs w:val="26"/>
        </w:rPr>
        <w:t xml:space="preserve">of heightened risk posed by foreclosure processing abuses; that FHFA had not taken critical </w:t>
      </w:r>
      <w:proofErr w:type="gramStart"/>
      <w:r w:rsidR="00A50DEA">
        <w:rPr>
          <w:rFonts w:ascii="Times New Roman" w:hAnsi="Times New Roman" w:cs="Times New Roman"/>
          <w:sz w:val="26"/>
          <w:szCs w:val="26"/>
        </w:rPr>
        <w:t>steps  to</w:t>
      </w:r>
      <w:proofErr w:type="gramEnd"/>
      <w:r w:rsidR="00A50DEA">
        <w:rPr>
          <w:rFonts w:ascii="Times New Roman" w:hAnsi="Times New Roman" w:cs="Times New Roman"/>
          <w:sz w:val="26"/>
          <w:szCs w:val="26"/>
        </w:rPr>
        <w:t xml:space="preserve"> strengthen its oversight of troubled FHLBanks; </w:t>
      </w:r>
      <w:r w:rsidR="00CE5812">
        <w:rPr>
          <w:rFonts w:ascii="Times New Roman" w:hAnsi="Times New Roman" w:cs="Times New Roman"/>
          <w:sz w:val="26"/>
          <w:szCs w:val="26"/>
        </w:rPr>
        <w:t>and that FHFA had failed to clearly define its oversight role respecting Freddie Mac’s responsibility for monitoring</w:t>
      </w:r>
      <w:r w:rsidR="00E57A7A">
        <w:rPr>
          <w:rFonts w:ascii="Times New Roman" w:hAnsi="Times New Roman" w:cs="Times New Roman"/>
          <w:sz w:val="26"/>
          <w:szCs w:val="26"/>
        </w:rPr>
        <w:t xml:space="preserve"> mortgage servicing contractors.</w:t>
      </w:r>
      <w:r w:rsidR="00605618">
        <w:rPr>
          <w:rStyle w:val="FootnoteReference"/>
          <w:rFonts w:ascii="Times New Roman" w:hAnsi="Times New Roman" w:cs="Times New Roman"/>
          <w:sz w:val="26"/>
          <w:szCs w:val="26"/>
        </w:rPr>
        <w:footnoteReference w:id="50"/>
      </w:r>
      <w:r w:rsidR="00E57A7A">
        <w:rPr>
          <w:rFonts w:ascii="Times New Roman" w:hAnsi="Times New Roman" w:cs="Times New Roman"/>
          <w:sz w:val="26"/>
          <w:szCs w:val="26"/>
        </w:rPr>
        <w:t xml:space="preserve"> </w:t>
      </w:r>
    </w:p>
    <w:p w:rsidR="00E57A7A" w:rsidRDefault="00E57A7A" w:rsidP="00544E21">
      <w:pPr>
        <w:spacing w:after="0" w:line="240" w:lineRule="auto"/>
        <w:rPr>
          <w:rFonts w:ascii="Times New Roman" w:hAnsi="Times New Roman" w:cs="Times New Roman"/>
          <w:sz w:val="26"/>
          <w:szCs w:val="26"/>
        </w:rPr>
      </w:pPr>
    </w:p>
    <w:p w:rsidR="00555B51" w:rsidRDefault="00E57A7A"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4B5DE5">
        <w:rPr>
          <w:rFonts w:ascii="Times New Roman" w:hAnsi="Times New Roman" w:cs="Times New Roman"/>
          <w:sz w:val="26"/>
          <w:szCs w:val="26"/>
        </w:rPr>
        <w:t xml:space="preserve">The </w:t>
      </w:r>
      <w:r>
        <w:rPr>
          <w:rFonts w:ascii="Times New Roman" w:hAnsi="Times New Roman" w:cs="Times New Roman"/>
          <w:sz w:val="26"/>
          <w:szCs w:val="26"/>
        </w:rPr>
        <w:t xml:space="preserve">FHFA is also presently defending a legal challenge to a rule promulgated in 2011 that declared that any successful class action securities fraud claims judgment or settlement </w:t>
      </w:r>
      <w:r w:rsidR="00605618">
        <w:rPr>
          <w:rFonts w:ascii="Times New Roman" w:hAnsi="Times New Roman" w:cs="Times New Roman"/>
          <w:sz w:val="26"/>
          <w:szCs w:val="26"/>
        </w:rPr>
        <w:t xml:space="preserve">occurring during the period of conservatorship or receivership of the Enterprises </w:t>
      </w:r>
      <w:r>
        <w:rPr>
          <w:rFonts w:ascii="Times New Roman" w:hAnsi="Times New Roman" w:cs="Times New Roman"/>
          <w:sz w:val="26"/>
          <w:szCs w:val="26"/>
        </w:rPr>
        <w:t>would be relegated to the lowest level payment priority</w:t>
      </w:r>
      <w:r w:rsidR="00117FFC">
        <w:rPr>
          <w:rFonts w:ascii="Times New Roman" w:hAnsi="Times New Roman" w:cs="Times New Roman"/>
          <w:sz w:val="26"/>
          <w:szCs w:val="26"/>
        </w:rPr>
        <w:t>, thereby assuring there will be no monetary recovery</w:t>
      </w:r>
      <w:r w:rsidR="00605618">
        <w:rPr>
          <w:rFonts w:ascii="Times New Roman" w:hAnsi="Times New Roman" w:cs="Times New Roman"/>
          <w:sz w:val="26"/>
          <w:szCs w:val="26"/>
        </w:rPr>
        <w:t>. The class action plaintiffs, representing</w:t>
      </w:r>
      <w:r w:rsidR="0047435A">
        <w:rPr>
          <w:rFonts w:ascii="Times New Roman" w:hAnsi="Times New Roman" w:cs="Times New Roman"/>
          <w:sz w:val="26"/>
          <w:szCs w:val="26"/>
        </w:rPr>
        <w:t xml:space="preserve"> all state sponsored employee retirement funds, asserts that (1) FHFA and its acting Director have no statutory authority import and Bankruptcy Code concepts and requirements into HERA’s conservatorship/receivership scheme, and (2) that </w:t>
      </w:r>
      <w:r w:rsidR="00166116">
        <w:rPr>
          <w:rFonts w:ascii="Times New Roman" w:hAnsi="Times New Roman" w:cs="Times New Roman"/>
          <w:sz w:val="26"/>
          <w:szCs w:val="26"/>
        </w:rPr>
        <w:t xml:space="preserve">the absence of a confirmed Director for a period exceeding four violates the Appointments Clause and vitiates any authority to promulgate the challenged rule. The case is presently before a federal district </w:t>
      </w:r>
      <w:r w:rsidR="00C0176F">
        <w:rPr>
          <w:rFonts w:ascii="Times New Roman" w:hAnsi="Times New Roman" w:cs="Times New Roman"/>
          <w:sz w:val="26"/>
          <w:szCs w:val="26"/>
        </w:rPr>
        <w:t xml:space="preserve">court </w:t>
      </w:r>
      <w:r w:rsidR="003E52BE">
        <w:rPr>
          <w:rFonts w:ascii="Times New Roman" w:hAnsi="Times New Roman" w:cs="Times New Roman"/>
          <w:sz w:val="26"/>
          <w:szCs w:val="26"/>
        </w:rPr>
        <w:t>awaiting</w:t>
      </w:r>
      <w:r w:rsidR="00166116">
        <w:rPr>
          <w:rFonts w:ascii="Times New Roman" w:hAnsi="Times New Roman" w:cs="Times New Roman"/>
          <w:sz w:val="26"/>
          <w:szCs w:val="26"/>
        </w:rPr>
        <w:t xml:space="preserve"> </w:t>
      </w:r>
      <w:r w:rsidR="00C0176F">
        <w:rPr>
          <w:rFonts w:ascii="Times New Roman" w:hAnsi="Times New Roman" w:cs="Times New Roman"/>
          <w:sz w:val="26"/>
          <w:szCs w:val="26"/>
        </w:rPr>
        <w:t>rulings on opposing motions for summary judgment</w:t>
      </w:r>
      <w:r w:rsidR="00166116">
        <w:rPr>
          <w:rFonts w:ascii="Times New Roman" w:hAnsi="Times New Roman" w:cs="Times New Roman"/>
          <w:sz w:val="26"/>
          <w:szCs w:val="26"/>
        </w:rPr>
        <w:t>.</w:t>
      </w:r>
      <w:r w:rsidR="00166116">
        <w:rPr>
          <w:rStyle w:val="FootnoteReference"/>
          <w:rFonts w:ascii="Times New Roman" w:hAnsi="Times New Roman" w:cs="Times New Roman"/>
          <w:sz w:val="26"/>
          <w:szCs w:val="26"/>
        </w:rPr>
        <w:footnoteReference w:id="51"/>
      </w:r>
      <w:r w:rsidR="00166116">
        <w:rPr>
          <w:rFonts w:ascii="Times New Roman" w:hAnsi="Times New Roman" w:cs="Times New Roman"/>
          <w:sz w:val="26"/>
          <w:szCs w:val="26"/>
        </w:rPr>
        <w:t xml:space="preserve"> </w:t>
      </w:r>
    </w:p>
    <w:p w:rsidR="005C2B73" w:rsidRDefault="005C2B73" w:rsidP="00544E21">
      <w:pPr>
        <w:spacing w:after="0" w:line="240" w:lineRule="auto"/>
        <w:rPr>
          <w:rFonts w:ascii="Times New Roman" w:hAnsi="Times New Roman" w:cs="Times New Roman"/>
          <w:sz w:val="26"/>
          <w:szCs w:val="26"/>
        </w:rPr>
      </w:pPr>
    </w:p>
    <w:p w:rsidR="00F42194" w:rsidRDefault="005C2B73"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A third newly created position that has never been occupied by a confirmed official is that of the Director of the Office of Financial Research (OFR). </w:t>
      </w:r>
      <w:r w:rsidR="00691CD4">
        <w:rPr>
          <w:rFonts w:ascii="Times New Roman" w:hAnsi="Times New Roman" w:cs="Times New Roman"/>
          <w:sz w:val="26"/>
          <w:szCs w:val="26"/>
        </w:rPr>
        <w:t>Title I of Dodd-Frank created OFR to support the Financial Stability Oversight Council (FSOC</w:t>
      </w:r>
      <w:r w:rsidR="00AE14C9">
        <w:rPr>
          <w:rFonts w:ascii="Times New Roman" w:hAnsi="Times New Roman" w:cs="Times New Roman"/>
          <w:sz w:val="26"/>
          <w:szCs w:val="26"/>
        </w:rPr>
        <w:t xml:space="preserve"> or Council</w:t>
      </w:r>
      <w:r w:rsidR="00691CD4">
        <w:rPr>
          <w:rFonts w:ascii="Times New Roman" w:hAnsi="Times New Roman" w:cs="Times New Roman"/>
          <w:sz w:val="26"/>
          <w:szCs w:val="26"/>
        </w:rPr>
        <w:t xml:space="preserve">) and its member agencies in its mission of identifying threats to the financial </w:t>
      </w:r>
      <w:proofErr w:type="gramStart"/>
      <w:r w:rsidR="00691CD4">
        <w:rPr>
          <w:rFonts w:ascii="Times New Roman" w:hAnsi="Times New Roman" w:cs="Times New Roman"/>
          <w:sz w:val="26"/>
          <w:szCs w:val="26"/>
        </w:rPr>
        <w:t>stability</w:t>
      </w:r>
      <w:r w:rsidR="00374B16">
        <w:rPr>
          <w:rFonts w:ascii="Times New Roman" w:hAnsi="Times New Roman" w:cs="Times New Roman"/>
          <w:sz w:val="26"/>
          <w:szCs w:val="26"/>
        </w:rPr>
        <w:t xml:space="preserve">  of</w:t>
      </w:r>
      <w:proofErr w:type="gramEnd"/>
      <w:r w:rsidR="00374B16">
        <w:rPr>
          <w:rFonts w:ascii="Times New Roman" w:hAnsi="Times New Roman" w:cs="Times New Roman"/>
          <w:sz w:val="26"/>
          <w:szCs w:val="26"/>
        </w:rPr>
        <w:t xml:space="preserve"> the United States</w:t>
      </w:r>
      <w:r w:rsidR="00CB0254">
        <w:rPr>
          <w:rFonts w:ascii="Times New Roman" w:hAnsi="Times New Roman" w:cs="Times New Roman"/>
          <w:sz w:val="26"/>
          <w:szCs w:val="26"/>
        </w:rPr>
        <w:t xml:space="preserve">, promoting market discipline, and responding to emerging </w:t>
      </w:r>
      <w:r w:rsidR="00CB0254">
        <w:rPr>
          <w:rFonts w:ascii="Times New Roman" w:hAnsi="Times New Roman" w:cs="Times New Roman"/>
          <w:sz w:val="26"/>
          <w:szCs w:val="26"/>
        </w:rPr>
        <w:lastRenderedPageBreak/>
        <w:t xml:space="preserve">risks to the financial stability. </w:t>
      </w:r>
      <w:r w:rsidR="00651CD5">
        <w:rPr>
          <w:rFonts w:ascii="Times New Roman" w:hAnsi="Times New Roman" w:cs="Times New Roman"/>
          <w:sz w:val="26"/>
          <w:szCs w:val="26"/>
        </w:rPr>
        <w:t>A key task of</w:t>
      </w:r>
      <w:r w:rsidR="00AE14C9">
        <w:rPr>
          <w:rFonts w:ascii="Times New Roman" w:hAnsi="Times New Roman" w:cs="Times New Roman"/>
          <w:sz w:val="26"/>
          <w:szCs w:val="26"/>
        </w:rPr>
        <w:t xml:space="preserve"> the FSOC is to identify nonbank </w:t>
      </w:r>
      <w:proofErr w:type="gramStart"/>
      <w:r w:rsidR="00AE14C9">
        <w:rPr>
          <w:rFonts w:ascii="Times New Roman" w:hAnsi="Times New Roman" w:cs="Times New Roman"/>
          <w:sz w:val="26"/>
          <w:szCs w:val="26"/>
        </w:rPr>
        <w:t>financial  entities</w:t>
      </w:r>
      <w:proofErr w:type="gramEnd"/>
      <w:r w:rsidR="00AE14C9">
        <w:rPr>
          <w:rFonts w:ascii="Times New Roman" w:hAnsi="Times New Roman" w:cs="Times New Roman"/>
          <w:sz w:val="26"/>
          <w:szCs w:val="26"/>
        </w:rPr>
        <w:t xml:space="preserve"> that may pose a threat to the financial security of the United States. </w:t>
      </w:r>
      <w:r w:rsidR="00A06EDF">
        <w:rPr>
          <w:rFonts w:ascii="Times New Roman" w:hAnsi="Times New Roman" w:cs="Times New Roman"/>
          <w:sz w:val="26"/>
          <w:szCs w:val="26"/>
        </w:rPr>
        <w:t>The Council is vested with power to designate such a company as a “systemically important financial institution</w:t>
      </w:r>
      <w:r w:rsidR="003A3CFC">
        <w:rPr>
          <w:rFonts w:ascii="Times New Roman" w:hAnsi="Times New Roman" w:cs="Times New Roman"/>
          <w:sz w:val="26"/>
          <w:szCs w:val="26"/>
        </w:rPr>
        <w:t>,</w:t>
      </w:r>
      <w:r w:rsidR="00A06EDF">
        <w:rPr>
          <w:rFonts w:ascii="Times New Roman" w:hAnsi="Times New Roman" w:cs="Times New Roman"/>
          <w:sz w:val="26"/>
          <w:szCs w:val="26"/>
        </w:rPr>
        <w:t>” a SIFI. The consequences of such designation</w:t>
      </w:r>
      <w:r w:rsidR="003A3CFC">
        <w:rPr>
          <w:rFonts w:ascii="Times New Roman" w:hAnsi="Times New Roman" w:cs="Times New Roman"/>
          <w:sz w:val="26"/>
          <w:szCs w:val="26"/>
        </w:rPr>
        <w:t>s</w:t>
      </w:r>
      <w:r w:rsidR="00A06EDF">
        <w:rPr>
          <w:rFonts w:ascii="Times New Roman" w:hAnsi="Times New Roman" w:cs="Times New Roman"/>
          <w:sz w:val="26"/>
          <w:szCs w:val="26"/>
        </w:rPr>
        <w:t xml:space="preserve"> are significant and substantial. The designee companies will be subject to indefinite, close regulatory supervision by the Federal Reserve Board (Board) under “enhanced prudential standards” tailored to relieve the material stress and dangers the firms</w:t>
      </w:r>
      <w:r w:rsidR="00F42194">
        <w:rPr>
          <w:rFonts w:ascii="Times New Roman" w:hAnsi="Times New Roman" w:cs="Times New Roman"/>
          <w:sz w:val="26"/>
          <w:szCs w:val="26"/>
        </w:rPr>
        <w:t xml:space="preserve"> </w:t>
      </w:r>
      <w:r w:rsidR="00A06EDF">
        <w:rPr>
          <w:rFonts w:ascii="Times New Roman" w:hAnsi="Times New Roman" w:cs="Times New Roman"/>
          <w:sz w:val="26"/>
          <w:szCs w:val="26"/>
        </w:rPr>
        <w:t>pose to the financial system</w:t>
      </w:r>
      <w:r w:rsidR="00F42194">
        <w:rPr>
          <w:rFonts w:ascii="Times New Roman" w:hAnsi="Times New Roman" w:cs="Times New Roman"/>
          <w:sz w:val="26"/>
          <w:szCs w:val="26"/>
        </w:rPr>
        <w:t>. Further, under Title II of the DFA, the Treasury</w:t>
      </w:r>
      <w:r w:rsidR="00AE14C9">
        <w:rPr>
          <w:rFonts w:ascii="Times New Roman" w:hAnsi="Times New Roman" w:cs="Times New Roman"/>
          <w:sz w:val="26"/>
          <w:szCs w:val="26"/>
        </w:rPr>
        <w:t xml:space="preserve"> </w:t>
      </w:r>
      <w:r w:rsidR="00F42194">
        <w:rPr>
          <w:rFonts w:ascii="Times New Roman" w:hAnsi="Times New Roman" w:cs="Times New Roman"/>
          <w:sz w:val="26"/>
          <w:szCs w:val="26"/>
        </w:rPr>
        <w:t>Secretary</w:t>
      </w:r>
      <w:r w:rsidR="00720414">
        <w:rPr>
          <w:rFonts w:ascii="Times New Roman" w:hAnsi="Times New Roman" w:cs="Times New Roman"/>
          <w:sz w:val="26"/>
          <w:szCs w:val="26"/>
        </w:rPr>
        <w:t>, who is the chairman of the FOSC</w:t>
      </w:r>
      <w:proofErr w:type="gramStart"/>
      <w:r w:rsidR="00720414">
        <w:rPr>
          <w:rFonts w:ascii="Times New Roman" w:hAnsi="Times New Roman" w:cs="Times New Roman"/>
          <w:sz w:val="26"/>
          <w:szCs w:val="26"/>
        </w:rPr>
        <w:t xml:space="preserve">, </w:t>
      </w:r>
      <w:r w:rsidR="00F42194">
        <w:rPr>
          <w:rFonts w:ascii="Times New Roman" w:hAnsi="Times New Roman" w:cs="Times New Roman"/>
          <w:sz w:val="26"/>
          <w:szCs w:val="26"/>
        </w:rPr>
        <w:t xml:space="preserve"> has</w:t>
      </w:r>
      <w:proofErr w:type="gramEnd"/>
      <w:r w:rsidR="00F42194">
        <w:rPr>
          <w:rFonts w:ascii="Times New Roman" w:hAnsi="Times New Roman" w:cs="Times New Roman"/>
          <w:sz w:val="26"/>
          <w:szCs w:val="26"/>
        </w:rPr>
        <w:t xml:space="preserve"> the authority, upon recommendation of the FDIC and certain other agencies, to place a nonbank firm designated a SIFI into FDIC receivership</w:t>
      </w:r>
      <w:r w:rsidR="003A3CFC">
        <w:rPr>
          <w:rFonts w:ascii="Times New Roman" w:hAnsi="Times New Roman" w:cs="Times New Roman"/>
          <w:sz w:val="26"/>
          <w:szCs w:val="26"/>
        </w:rPr>
        <w:t xml:space="preserve"> and possible resolution</w:t>
      </w:r>
      <w:r w:rsidR="00F42194">
        <w:rPr>
          <w:rFonts w:ascii="Times New Roman" w:hAnsi="Times New Roman" w:cs="Times New Roman"/>
          <w:sz w:val="26"/>
          <w:szCs w:val="26"/>
        </w:rPr>
        <w:t xml:space="preserve">. </w:t>
      </w:r>
    </w:p>
    <w:p w:rsidR="00F42194" w:rsidRDefault="00F42194" w:rsidP="00544E21">
      <w:pPr>
        <w:spacing w:after="0" w:line="240" w:lineRule="auto"/>
        <w:rPr>
          <w:rFonts w:ascii="Times New Roman" w:hAnsi="Times New Roman" w:cs="Times New Roman"/>
          <w:sz w:val="26"/>
          <w:szCs w:val="26"/>
        </w:rPr>
      </w:pPr>
    </w:p>
    <w:p w:rsidR="0067562C" w:rsidRDefault="00F42194"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The DFA itself does not clarify what thresholds will trigger a SIFI </w:t>
      </w:r>
      <w:r w:rsidR="00DA5E97">
        <w:rPr>
          <w:rFonts w:ascii="Times New Roman" w:hAnsi="Times New Roman" w:cs="Times New Roman"/>
          <w:sz w:val="26"/>
          <w:szCs w:val="26"/>
        </w:rPr>
        <w:t>designation</w:t>
      </w:r>
      <w:r w:rsidR="003A3CFC">
        <w:rPr>
          <w:rFonts w:ascii="Times New Roman" w:hAnsi="Times New Roman" w:cs="Times New Roman"/>
          <w:sz w:val="26"/>
          <w:szCs w:val="26"/>
        </w:rPr>
        <w:t>.</w:t>
      </w:r>
      <w:r>
        <w:rPr>
          <w:rFonts w:ascii="Times New Roman" w:hAnsi="Times New Roman" w:cs="Times New Roman"/>
          <w:sz w:val="26"/>
          <w:szCs w:val="26"/>
        </w:rPr>
        <w:t xml:space="preserve"> </w:t>
      </w:r>
      <w:r w:rsidR="003A3CFC">
        <w:rPr>
          <w:rFonts w:ascii="Times New Roman" w:hAnsi="Times New Roman" w:cs="Times New Roman"/>
          <w:sz w:val="26"/>
          <w:szCs w:val="26"/>
        </w:rPr>
        <w:t>T</w:t>
      </w:r>
      <w:r w:rsidR="00DA5E97">
        <w:rPr>
          <w:rFonts w:ascii="Times New Roman" w:hAnsi="Times New Roman" w:cs="Times New Roman"/>
          <w:sz w:val="26"/>
          <w:szCs w:val="26"/>
        </w:rPr>
        <w:t xml:space="preserve">he FOSC </w:t>
      </w:r>
      <w:r w:rsidR="003A3CFC">
        <w:rPr>
          <w:rFonts w:ascii="Times New Roman" w:hAnsi="Times New Roman" w:cs="Times New Roman"/>
          <w:sz w:val="26"/>
          <w:szCs w:val="26"/>
        </w:rPr>
        <w:t xml:space="preserve">does not </w:t>
      </w:r>
      <w:r w:rsidR="00DA5E97">
        <w:rPr>
          <w:rFonts w:ascii="Times New Roman" w:hAnsi="Times New Roman" w:cs="Times New Roman"/>
          <w:sz w:val="26"/>
          <w:szCs w:val="26"/>
        </w:rPr>
        <w:t>have the authority issue substantive rules</w:t>
      </w:r>
      <w:r w:rsidR="00B460D9">
        <w:rPr>
          <w:rFonts w:ascii="Times New Roman" w:hAnsi="Times New Roman" w:cs="Times New Roman"/>
          <w:sz w:val="26"/>
          <w:szCs w:val="26"/>
        </w:rPr>
        <w:t xml:space="preserve"> respecting </w:t>
      </w:r>
      <w:r w:rsidR="00775ADA">
        <w:rPr>
          <w:rFonts w:ascii="Times New Roman" w:hAnsi="Times New Roman" w:cs="Times New Roman"/>
          <w:sz w:val="26"/>
          <w:szCs w:val="26"/>
        </w:rPr>
        <w:t xml:space="preserve">information gathering </w:t>
      </w:r>
      <w:r w:rsidR="00F11939">
        <w:rPr>
          <w:rFonts w:ascii="Times New Roman" w:hAnsi="Times New Roman" w:cs="Times New Roman"/>
          <w:sz w:val="26"/>
          <w:szCs w:val="26"/>
        </w:rPr>
        <w:t xml:space="preserve">and sharing </w:t>
      </w:r>
      <w:r w:rsidR="00775ADA">
        <w:rPr>
          <w:rFonts w:ascii="Times New Roman" w:hAnsi="Times New Roman" w:cs="Times New Roman"/>
          <w:sz w:val="26"/>
          <w:szCs w:val="26"/>
        </w:rPr>
        <w:t xml:space="preserve">nor does it have the </w:t>
      </w:r>
      <w:r w:rsidR="00F11939">
        <w:rPr>
          <w:rFonts w:ascii="Times New Roman" w:hAnsi="Times New Roman" w:cs="Times New Roman"/>
          <w:sz w:val="26"/>
          <w:szCs w:val="26"/>
        </w:rPr>
        <w:t xml:space="preserve">investigative </w:t>
      </w:r>
      <w:r w:rsidR="00775ADA">
        <w:rPr>
          <w:rFonts w:ascii="Times New Roman" w:hAnsi="Times New Roman" w:cs="Times New Roman"/>
          <w:sz w:val="26"/>
          <w:szCs w:val="26"/>
        </w:rPr>
        <w:t xml:space="preserve">power to demand and </w:t>
      </w:r>
      <w:proofErr w:type="gramStart"/>
      <w:r w:rsidR="00775ADA">
        <w:rPr>
          <w:rFonts w:ascii="Times New Roman" w:hAnsi="Times New Roman" w:cs="Times New Roman"/>
          <w:sz w:val="26"/>
          <w:szCs w:val="26"/>
        </w:rPr>
        <w:t xml:space="preserve">enforce </w:t>
      </w:r>
      <w:r w:rsidR="003A3CFC">
        <w:rPr>
          <w:rFonts w:ascii="Times New Roman" w:hAnsi="Times New Roman" w:cs="Times New Roman"/>
          <w:sz w:val="26"/>
          <w:szCs w:val="26"/>
        </w:rPr>
        <w:t xml:space="preserve"> such</w:t>
      </w:r>
      <w:proofErr w:type="gramEnd"/>
      <w:r w:rsidR="003A3CFC">
        <w:rPr>
          <w:rFonts w:ascii="Times New Roman" w:hAnsi="Times New Roman" w:cs="Times New Roman"/>
          <w:sz w:val="26"/>
          <w:szCs w:val="26"/>
        </w:rPr>
        <w:t xml:space="preserve"> demands in court</w:t>
      </w:r>
      <w:r w:rsidR="00DA5E97">
        <w:rPr>
          <w:rFonts w:ascii="Times New Roman" w:hAnsi="Times New Roman" w:cs="Times New Roman"/>
          <w:sz w:val="26"/>
          <w:szCs w:val="26"/>
        </w:rPr>
        <w:t xml:space="preserve">. The Council’s first attempt formulate guidance was a failure and </w:t>
      </w:r>
      <w:r w:rsidR="00B460D9">
        <w:rPr>
          <w:rFonts w:ascii="Times New Roman" w:hAnsi="Times New Roman" w:cs="Times New Roman"/>
          <w:sz w:val="26"/>
          <w:szCs w:val="26"/>
        </w:rPr>
        <w:t xml:space="preserve">the efficacy of </w:t>
      </w:r>
      <w:r w:rsidR="00DA5E97">
        <w:rPr>
          <w:rFonts w:ascii="Times New Roman" w:hAnsi="Times New Roman" w:cs="Times New Roman"/>
          <w:sz w:val="26"/>
          <w:szCs w:val="26"/>
        </w:rPr>
        <w:t>its most recent</w:t>
      </w:r>
      <w:r w:rsidR="00B460D9">
        <w:rPr>
          <w:rFonts w:ascii="Times New Roman" w:hAnsi="Times New Roman" w:cs="Times New Roman"/>
          <w:sz w:val="26"/>
          <w:szCs w:val="26"/>
        </w:rPr>
        <w:t xml:space="preserve"> issuance is yet to be determined. </w:t>
      </w:r>
      <w:r w:rsidR="00775ADA">
        <w:rPr>
          <w:rFonts w:ascii="Times New Roman" w:hAnsi="Times New Roman" w:cs="Times New Roman"/>
          <w:sz w:val="26"/>
          <w:szCs w:val="26"/>
        </w:rPr>
        <w:t>Each of the three steps leading to a SIFI determination</w:t>
      </w:r>
      <w:r w:rsidR="003E52BE">
        <w:rPr>
          <w:rFonts w:ascii="Times New Roman" w:hAnsi="Times New Roman" w:cs="Times New Roman"/>
          <w:sz w:val="26"/>
          <w:szCs w:val="26"/>
        </w:rPr>
        <w:t xml:space="preserve"> in the recently promulgated guidance</w:t>
      </w:r>
      <w:r w:rsidR="00775ADA">
        <w:rPr>
          <w:rFonts w:ascii="Times New Roman" w:hAnsi="Times New Roman" w:cs="Times New Roman"/>
          <w:sz w:val="26"/>
          <w:szCs w:val="26"/>
        </w:rPr>
        <w:t xml:space="preserve"> need huge amounts of financial data that</w:t>
      </w:r>
      <w:r w:rsidR="00B36232">
        <w:rPr>
          <w:rFonts w:ascii="Times New Roman" w:hAnsi="Times New Roman" w:cs="Times New Roman"/>
          <w:sz w:val="26"/>
          <w:szCs w:val="26"/>
        </w:rPr>
        <w:t xml:space="preserve"> </w:t>
      </w:r>
      <w:r w:rsidR="00775ADA">
        <w:rPr>
          <w:rFonts w:ascii="Times New Roman" w:hAnsi="Times New Roman" w:cs="Times New Roman"/>
          <w:sz w:val="26"/>
          <w:szCs w:val="26"/>
        </w:rPr>
        <w:t xml:space="preserve">require sophisticated analysis. Complicating the situation further is that </w:t>
      </w:r>
      <w:r w:rsidR="00B36232">
        <w:rPr>
          <w:rFonts w:ascii="Times New Roman" w:hAnsi="Times New Roman" w:cs="Times New Roman"/>
          <w:sz w:val="26"/>
          <w:szCs w:val="26"/>
        </w:rPr>
        <w:t>the financial regulatory agencies that compose the Council—the Federal Reserve Board,</w:t>
      </w:r>
      <w:r w:rsidR="003A3CFC">
        <w:rPr>
          <w:rFonts w:ascii="Times New Roman" w:hAnsi="Times New Roman" w:cs="Times New Roman"/>
          <w:sz w:val="26"/>
          <w:szCs w:val="26"/>
        </w:rPr>
        <w:t xml:space="preserve"> </w:t>
      </w:r>
      <w:r w:rsidR="00B36232">
        <w:rPr>
          <w:rFonts w:ascii="Times New Roman" w:hAnsi="Times New Roman" w:cs="Times New Roman"/>
          <w:sz w:val="26"/>
          <w:szCs w:val="26"/>
        </w:rPr>
        <w:t xml:space="preserve">the Comptroller of the Currency, the Commodity Futures Trading Commission, the Securities Exchange Commission, the Consumer Financial Protection Board, the federal Housing Finance Agency, the National Credit Union Association, and the Federal Deposit Insurance Corporation—have variegated information collection gathering </w:t>
      </w:r>
      <w:r w:rsidR="003A3CFC">
        <w:rPr>
          <w:rFonts w:ascii="Times New Roman" w:hAnsi="Times New Roman" w:cs="Times New Roman"/>
          <w:sz w:val="26"/>
          <w:szCs w:val="26"/>
        </w:rPr>
        <w:t xml:space="preserve">and data analysis systems that need to be coordinated with an as yet still not developed scheme of risk analysis. </w:t>
      </w:r>
    </w:p>
    <w:p w:rsidR="00F11939" w:rsidRDefault="00F11939" w:rsidP="00544E21">
      <w:pPr>
        <w:spacing w:after="0" w:line="240" w:lineRule="auto"/>
        <w:rPr>
          <w:rFonts w:ascii="Times New Roman" w:hAnsi="Times New Roman" w:cs="Times New Roman"/>
          <w:sz w:val="26"/>
          <w:szCs w:val="26"/>
        </w:rPr>
      </w:pPr>
    </w:p>
    <w:p w:rsidR="00FF151F" w:rsidRDefault="00F11939"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With this background in mind, the crucial role </w:t>
      </w:r>
      <w:r w:rsidR="009412BF">
        <w:rPr>
          <w:rFonts w:ascii="Times New Roman" w:hAnsi="Times New Roman" w:cs="Times New Roman"/>
          <w:sz w:val="26"/>
          <w:szCs w:val="26"/>
        </w:rPr>
        <w:t xml:space="preserve">OFR </w:t>
      </w:r>
      <w:r>
        <w:rPr>
          <w:rFonts w:ascii="Times New Roman" w:hAnsi="Times New Roman" w:cs="Times New Roman"/>
          <w:sz w:val="26"/>
          <w:szCs w:val="26"/>
        </w:rPr>
        <w:t>plays</w:t>
      </w:r>
      <w:r w:rsidR="009412BF">
        <w:rPr>
          <w:rFonts w:ascii="Times New Roman" w:hAnsi="Times New Roman" w:cs="Times New Roman"/>
          <w:sz w:val="26"/>
          <w:szCs w:val="26"/>
        </w:rPr>
        <w:t xml:space="preserve"> in </w:t>
      </w:r>
      <w:r w:rsidR="00E138F9">
        <w:rPr>
          <w:rFonts w:ascii="Times New Roman" w:hAnsi="Times New Roman" w:cs="Times New Roman"/>
          <w:sz w:val="26"/>
          <w:szCs w:val="26"/>
        </w:rPr>
        <w:t>the success of the SIFI</w:t>
      </w:r>
      <w:r>
        <w:rPr>
          <w:rFonts w:ascii="Times New Roman" w:hAnsi="Times New Roman" w:cs="Times New Roman"/>
          <w:sz w:val="26"/>
          <w:szCs w:val="26"/>
        </w:rPr>
        <w:t xml:space="preserve"> </w:t>
      </w:r>
      <w:r w:rsidR="00E138F9">
        <w:rPr>
          <w:rFonts w:ascii="Times New Roman" w:hAnsi="Times New Roman" w:cs="Times New Roman"/>
          <w:sz w:val="26"/>
          <w:szCs w:val="26"/>
        </w:rPr>
        <w:t xml:space="preserve">program becomes apparent. The DFA establishes OFR as an independent entity within the Treasury Department. It is headed by a Director appointed by the President with the consent of the Senate for a six year term </w:t>
      </w:r>
      <w:r w:rsidR="003E52BE">
        <w:rPr>
          <w:rFonts w:ascii="Times New Roman" w:hAnsi="Times New Roman" w:cs="Times New Roman"/>
          <w:sz w:val="26"/>
          <w:szCs w:val="26"/>
        </w:rPr>
        <w:t>who</w:t>
      </w:r>
      <w:r w:rsidR="00E138F9">
        <w:rPr>
          <w:rFonts w:ascii="Times New Roman" w:hAnsi="Times New Roman" w:cs="Times New Roman"/>
          <w:sz w:val="26"/>
          <w:szCs w:val="26"/>
        </w:rPr>
        <w:t xml:space="preserve"> may hold</w:t>
      </w:r>
      <w:r w:rsidR="00FA7237">
        <w:rPr>
          <w:rFonts w:ascii="Times New Roman" w:hAnsi="Times New Roman" w:cs="Times New Roman"/>
          <w:sz w:val="26"/>
          <w:szCs w:val="26"/>
        </w:rPr>
        <w:t xml:space="preserve"> over</w:t>
      </w:r>
      <w:r w:rsidR="00E138F9">
        <w:rPr>
          <w:rFonts w:ascii="Times New Roman" w:hAnsi="Times New Roman" w:cs="Times New Roman"/>
          <w:sz w:val="26"/>
          <w:szCs w:val="26"/>
        </w:rPr>
        <w:t xml:space="preserve"> </w:t>
      </w:r>
      <w:r w:rsidR="00340980">
        <w:rPr>
          <w:rFonts w:ascii="Times New Roman" w:hAnsi="Times New Roman" w:cs="Times New Roman"/>
          <w:sz w:val="26"/>
          <w:szCs w:val="26"/>
        </w:rPr>
        <w:t xml:space="preserve">after the term </w:t>
      </w:r>
      <w:proofErr w:type="gramStart"/>
      <w:r w:rsidR="00340980">
        <w:rPr>
          <w:rFonts w:ascii="Times New Roman" w:hAnsi="Times New Roman" w:cs="Times New Roman"/>
          <w:sz w:val="26"/>
          <w:szCs w:val="26"/>
        </w:rPr>
        <w:t>ends  until</w:t>
      </w:r>
      <w:proofErr w:type="gramEnd"/>
      <w:r w:rsidR="00340980">
        <w:rPr>
          <w:rFonts w:ascii="Times New Roman" w:hAnsi="Times New Roman" w:cs="Times New Roman"/>
          <w:sz w:val="26"/>
          <w:szCs w:val="26"/>
        </w:rPr>
        <w:t xml:space="preserve"> a successor is confirmed. The Director has “the sole discretion in the manner</w:t>
      </w:r>
      <w:r w:rsidR="001D6726">
        <w:rPr>
          <w:rFonts w:ascii="Times New Roman" w:hAnsi="Times New Roman" w:cs="Times New Roman"/>
          <w:sz w:val="26"/>
          <w:szCs w:val="26"/>
        </w:rPr>
        <w:t xml:space="preserve"> </w:t>
      </w:r>
      <w:r w:rsidR="007A26B8">
        <w:rPr>
          <w:rFonts w:ascii="Times New Roman" w:hAnsi="Times New Roman" w:cs="Times New Roman"/>
          <w:sz w:val="26"/>
          <w:szCs w:val="26"/>
        </w:rPr>
        <w:t xml:space="preserve"> </w:t>
      </w:r>
      <w:r w:rsidR="00340980">
        <w:rPr>
          <w:rFonts w:ascii="Times New Roman" w:hAnsi="Times New Roman" w:cs="Times New Roman"/>
          <w:sz w:val="26"/>
          <w:szCs w:val="26"/>
        </w:rPr>
        <w:t>[he or she] fulfills the responsibilities and exercises the authorities in this subtitle.”</w:t>
      </w:r>
      <w:r w:rsidR="00340980">
        <w:rPr>
          <w:rStyle w:val="FootnoteReference"/>
          <w:rFonts w:ascii="Times New Roman" w:hAnsi="Times New Roman" w:cs="Times New Roman"/>
          <w:sz w:val="26"/>
          <w:szCs w:val="26"/>
        </w:rPr>
        <w:footnoteReference w:id="52"/>
      </w:r>
      <w:r w:rsidR="00E138F9">
        <w:rPr>
          <w:rFonts w:ascii="Times New Roman" w:hAnsi="Times New Roman" w:cs="Times New Roman"/>
          <w:sz w:val="26"/>
          <w:szCs w:val="26"/>
        </w:rPr>
        <w:t xml:space="preserve"> </w:t>
      </w:r>
      <w:r w:rsidR="00340980">
        <w:rPr>
          <w:rFonts w:ascii="Times New Roman" w:hAnsi="Times New Roman" w:cs="Times New Roman"/>
          <w:sz w:val="26"/>
          <w:szCs w:val="26"/>
        </w:rPr>
        <w:t xml:space="preserve">Among the Director’s significant duties is the issuance of binding rules respecting the collection of data on behalf of the Council, and providing such data to the Council </w:t>
      </w:r>
      <w:r w:rsidR="00F128A2">
        <w:rPr>
          <w:rFonts w:ascii="Times New Roman" w:hAnsi="Times New Roman" w:cs="Times New Roman"/>
          <w:sz w:val="26"/>
          <w:szCs w:val="26"/>
        </w:rPr>
        <w:t>and member agencies</w:t>
      </w:r>
      <w:r w:rsidR="002B52FA">
        <w:rPr>
          <w:rFonts w:ascii="Times New Roman" w:hAnsi="Times New Roman" w:cs="Times New Roman"/>
          <w:sz w:val="26"/>
          <w:szCs w:val="26"/>
        </w:rPr>
        <w:t>; i</w:t>
      </w:r>
      <w:r w:rsidR="00F128A2">
        <w:rPr>
          <w:rFonts w:ascii="Times New Roman" w:hAnsi="Times New Roman" w:cs="Times New Roman"/>
          <w:sz w:val="26"/>
          <w:szCs w:val="26"/>
        </w:rPr>
        <w:t>ssu</w:t>
      </w:r>
      <w:r w:rsidR="002B52FA">
        <w:rPr>
          <w:rFonts w:ascii="Times New Roman" w:hAnsi="Times New Roman" w:cs="Times New Roman"/>
          <w:sz w:val="26"/>
          <w:szCs w:val="26"/>
        </w:rPr>
        <w:t>ing</w:t>
      </w:r>
      <w:r w:rsidR="00F128A2">
        <w:rPr>
          <w:rFonts w:ascii="Times New Roman" w:hAnsi="Times New Roman" w:cs="Times New Roman"/>
          <w:sz w:val="26"/>
          <w:szCs w:val="26"/>
        </w:rPr>
        <w:t xml:space="preserve"> rules standardizing the types and formats of data reported and collected; and issu</w:t>
      </w:r>
      <w:r w:rsidR="002B52FA">
        <w:rPr>
          <w:rFonts w:ascii="Times New Roman" w:hAnsi="Times New Roman" w:cs="Times New Roman"/>
          <w:sz w:val="26"/>
          <w:szCs w:val="26"/>
        </w:rPr>
        <w:t>ing</w:t>
      </w:r>
      <w:r w:rsidR="00F128A2">
        <w:rPr>
          <w:rFonts w:ascii="Times New Roman" w:hAnsi="Times New Roman" w:cs="Times New Roman"/>
          <w:sz w:val="26"/>
          <w:szCs w:val="26"/>
        </w:rPr>
        <w:t xml:space="preserve"> rules assisting member agencies in determining the types and formats authorized by the DFA to be collected by such member agencies.</w:t>
      </w:r>
      <w:r w:rsidR="00F128A2">
        <w:rPr>
          <w:rStyle w:val="FootnoteReference"/>
          <w:rFonts w:ascii="Times New Roman" w:hAnsi="Times New Roman" w:cs="Times New Roman"/>
          <w:sz w:val="26"/>
          <w:szCs w:val="26"/>
        </w:rPr>
        <w:footnoteReference w:id="53"/>
      </w:r>
      <w:r w:rsidR="00F128A2">
        <w:rPr>
          <w:rFonts w:ascii="Times New Roman" w:hAnsi="Times New Roman" w:cs="Times New Roman"/>
          <w:sz w:val="26"/>
          <w:szCs w:val="26"/>
        </w:rPr>
        <w:t xml:space="preserve"> Rules promulgated with respect to standardization must be implemented by the member agencies within three years, after which time the OFR may implement them and supersede existing agency rules</w:t>
      </w:r>
      <w:r w:rsidR="00836109">
        <w:rPr>
          <w:rFonts w:ascii="Times New Roman" w:hAnsi="Times New Roman" w:cs="Times New Roman"/>
          <w:sz w:val="26"/>
          <w:szCs w:val="26"/>
        </w:rPr>
        <w:t xml:space="preserve"> (after consultation with the Secretary).</w:t>
      </w:r>
      <w:r w:rsidR="00836109">
        <w:rPr>
          <w:rStyle w:val="FootnoteReference"/>
          <w:rFonts w:ascii="Times New Roman" w:hAnsi="Times New Roman" w:cs="Times New Roman"/>
          <w:sz w:val="26"/>
          <w:szCs w:val="26"/>
        </w:rPr>
        <w:footnoteReference w:id="54"/>
      </w:r>
      <w:r w:rsidR="00F128A2">
        <w:rPr>
          <w:rFonts w:ascii="Times New Roman" w:hAnsi="Times New Roman" w:cs="Times New Roman"/>
          <w:sz w:val="26"/>
          <w:szCs w:val="26"/>
        </w:rPr>
        <w:t xml:space="preserve"> </w:t>
      </w:r>
      <w:r w:rsidR="002E0D4A">
        <w:rPr>
          <w:rFonts w:ascii="Times New Roman" w:hAnsi="Times New Roman" w:cs="Times New Roman"/>
          <w:sz w:val="26"/>
          <w:szCs w:val="26"/>
        </w:rPr>
        <w:t xml:space="preserve">The Director must report to and </w:t>
      </w:r>
      <w:r w:rsidR="002E0D4A">
        <w:rPr>
          <w:rFonts w:ascii="Times New Roman" w:hAnsi="Times New Roman" w:cs="Times New Roman"/>
          <w:sz w:val="26"/>
          <w:szCs w:val="26"/>
        </w:rPr>
        <w:lastRenderedPageBreak/>
        <w:t xml:space="preserve">testify before its jurisdictional committees annually with respect OFR’s work and assessment of market stability and potential threats. No other executive </w:t>
      </w:r>
      <w:proofErr w:type="gramStart"/>
      <w:r w:rsidR="002E0D4A">
        <w:rPr>
          <w:rFonts w:ascii="Times New Roman" w:hAnsi="Times New Roman" w:cs="Times New Roman"/>
          <w:sz w:val="26"/>
          <w:szCs w:val="26"/>
        </w:rPr>
        <w:t>branch  officer</w:t>
      </w:r>
      <w:proofErr w:type="gramEnd"/>
      <w:r w:rsidR="002E0D4A">
        <w:rPr>
          <w:rFonts w:ascii="Times New Roman" w:hAnsi="Times New Roman" w:cs="Times New Roman"/>
          <w:sz w:val="26"/>
          <w:szCs w:val="26"/>
        </w:rPr>
        <w:t xml:space="preserve"> or agency can require the Director to submit that testimony or testimony on any other matter to Congress for prior review.</w:t>
      </w:r>
      <w:r w:rsidR="002E0D4A">
        <w:rPr>
          <w:rStyle w:val="FootnoteReference"/>
          <w:rFonts w:ascii="Times New Roman" w:hAnsi="Times New Roman" w:cs="Times New Roman"/>
          <w:sz w:val="26"/>
          <w:szCs w:val="26"/>
        </w:rPr>
        <w:footnoteReference w:id="55"/>
      </w:r>
      <w:r w:rsidR="00836109">
        <w:rPr>
          <w:rFonts w:ascii="Times New Roman" w:hAnsi="Times New Roman" w:cs="Times New Roman"/>
          <w:sz w:val="26"/>
          <w:szCs w:val="26"/>
        </w:rPr>
        <w:t xml:space="preserve"> </w:t>
      </w:r>
      <w:r w:rsidR="002E0D4A">
        <w:rPr>
          <w:rFonts w:ascii="Times New Roman" w:hAnsi="Times New Roman" w:cs="Times New Roman"/>
          <w:sz w:val="26"/>
          <w:szCs w:val="26"/>
        </w:rPr>
        <w:t>The Director can issue subpoenas and seek enforcement of them in federal district court without consultation with the chairman or the Council.</w:t>
      </w:r>
      <w:r w:rsidR="002E0D4A">
        <w:rPr>
          <w:rStyle w:val="FootnoteReference"/>
          <w:rFonts w:ascii="Times New Roman" w:hAnsi="Times New Roman" w:cs="Times New Roman"/>
          <w:sz w:val="26"/>
          <w:szCs w:val="26"/>
        </w:rPr>
        <w:footnoteReference w:id="56"/>
      </w:r>
      <w:r w:rsidR="00F128A2">
        <w:rPr>
          <w:rFonts w:ascii="Times New Roman" w:hAnsi="Times New Roman" w:cs="Times New Roman"/>
          <w:sz w:val="26"/>
          <w:szCs w:val="26"/>
        </w:rPr>
        <w:t xml:space="preserve"> </w:t>
      </w:r>
      <w:r w:rsidR="00FF151F">
        <w:rPr>
          <w:rFonts w:ascii="Times New Roman" w:hAnsi="Times New Roman" w:cs="Times New Roman"/>
          <w:sz w:val="26"/>
          <w:szCs w:val="26"/>
        </w:rPr>
        <w:t>Thus, the Council does not have independent information gathering and investigative powers, and must rely on OFR.</w:t>
      </w:r>
    </w:p>
    <w:p w:rsidR="00FF151F" w:rsidRDefault="00FF151F" w:rsidP="00544E21">
      <w:pPr>
        <w:spacing w:after="0" w:line="240" w:lineRule="auto"/>
        <w:rPr>
          <w:rFonts w:ascii="Times New Roman" w:hAnsi="Times New Roman" w:cs="Times New Roman"/>
          <w:sz w:val="26"/>
          <w:szCs w:val="26"/>
        </w:rPr>
      </w:pPr>
    </w:p>
    <w:p w:rsidR="00DC7CF9" w:rsidRDefault="00FF151F" w:rsidP="00DC7CF9">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Finally, OFR is the sole source of funding for the Council. Pursuant to DFA Section 155, Congress established a “Financial </w:t>
      </w:r>
      <w:r w:rsidR="002B52FA">
        <w:rPr>
          <w:rFonts w:ascii="Times New Roman" w:hAnsi="Times New Roman" w:cs="Times New Roman"/>
          <w:sz w:val="26"/>
          <w:szCs w:val="26"/>
        </w:rPr>
        <w:t>R</w:t>
      </w:r>
      <w:r>
        <w:rPr>
          <w:rFonts w:ascii="Times New Roman" w:hAnsi="Times New Roman" w:cs="Times New Roman"/>
          <w:sz w:val="26"/>
          <w:szCs w:val="26"/>
        </w:rPr>
        <w:t xml:space="preserve">esearch Fund” which is the repository for funds received from the Federal Reserve Board that covered </w:t>
      </w:r>
      <w:proofErr w:type="gramStart"/>
      <w:r>
        <w:rPr>
          <w:rFonts w:ascii="Times New Roman" w:hAnsi="Times New Roman" w:cs="Times New Roman"/>
          <w:sz w:val="26"/>
          <w:szCs w:val="26"/>
        </w:rPr>
        <w:t>all  of</w:t>
      </w:r>
      <w:proofErr w:type="gramEnd"/>
      <w:r>
        <w:rPr>
          <w:rFonts w:ascii="Times New Roman" w:hAnsi="Times New Roman" w:cs="Times New Roman"/>
          <w:sz w:val="26"/>
          <w:szCs w:val="26"/>
        </w:rPr>
        <w:t xml:space="preserve"> the expenses of </w:t>
      </w:r>
      <w:r w:rsidR="00726341">
        <w:rPr>
          <w:rFonts w:ascii="Times New Roman" w:hAnsi="Times New Roman" w:cs="Times New Roman"/>
          <w:sz w:val="26"/>
          <w:szCs w:val="26"/>
        </w:rPr>
        <w:t xml:space="preserve"> OFR during the first two years of its operation and that after July 21, 2012 will receive funds from assessments on bank holding companies with consolidated assets of $50</w:t>
      </w:r>
      <w:r w:rsidR="002B52FA">
        <w:rPr>
          <w:rFonts w:ascii="Times New Roman" w:hAnsi="Times New Roman" w:cs="Times New Roman"/>
          <w:sz w:val="26"/>
          <w:szCs w:val="26"/>
        </w:rPr>
        <w:t xml:space="preserve"> </w:t>
      </w:r>
      <w:r w:rsidR="00726341">
        <w:rPr>
          <w:rFonts w:ascii="Times New Roman" w:hAnsi="Times New Roman" w:cs="Times New Roman"/>
          <w:sz w:val="26"/>
          <w:szCs w:val="26"/>
        </w:rPr>
        <w:t>billion or more and on nonbank companies supervised by the Board of Governors. None of such funds are deemed to be appropriated monies</w:t>
      </w:r>
      <w:r w:rsidR="002B52FA">
        <w:rPr>
          <w:rFonts w:ascii="Times New Roman" w:hAnsi="Times New Roman" w:cs="Times New Roman"/>
          <w:sz w:val="26"/>
          <w:szCs w:val="26"/>
        </w:rPr>
        <w:t xml:space="preserve"> and are</w:t>
      </w:r>
      <w:r w:rsidR="00726341">
        <w:rPr>
          <w:rFonts w:ascii="Times New Roman" w:hAnsi="Times New Roman" w:cs="Times New Roman"/>
          <w:sz w:val="26"/>
          <w:szCs w:val="26"/>
        </w:rPr>
        <w:t xml:space="preserve"> not subject to apportionment by OMB</w:t>
      </w:r>
      <w:r w:rsidR="002B52FA">
        <w:rPr>
          <w:rFonts w:ascii="Times New Roman" w:hAnsi="Times New Roman" w:cs="Times New Roman"/>
          <w:sz w:val="26"/>
          <w:szCs w:val="26"/>
        </w:rPr>
        <w:t>.</w:t>
      </w:r>
      <w:r w:rsidR="00726341">
        <w:rPr>
          <w:rFonts w:ascii="Times New Roman" w:hAnsi="Times New Roman" w:cs="Times New Roman"/>
          <w:sz w:val="26"/>
          <w:szCs w:val="26"/>
        </w:rPr>
        <w:t xml:space="preserve"> </w:t>
      </w:r>
      <w:r w:rsidR="002B52FA">
        <w:rPr>
          <w:rFonts w:ascii="Times New Roman" w:hAnsi="Times New Roman" w:cs="Times New Roman"/>
          <w:sz w:val="26"/>
          <w:szCs w:val="26"/>
        </w:rPr>
        <w:t>They</w:t>
      </w:r>
      <w:r w:rsidR="00726341">
        <w:rPr>
          <w:rFonts w:ascii="Times New Roman" w:hAnsi="Times New Roman" w:cs="Times New Roman"/>
          <w:sz w:val="26"/>
          <w:szCs w:val="26"/>
        </w:rPr>
        <w:t xml:space="preserve"> may be utilized for any function or purpose of OFR. Under DFA Section</w:t>
      </w:r>
      <w:r w:rsidR="003E52BE">
        <w:rPr>
          <w:rFonts w:ascii="Times New Roman" w:hAnsi="Times New Roman" w:cs="Times New Roman"/>
          <w:sz w:val="26"/>
          <w:szCs w:val="26"/>
        </w:rPr>
        <w:t xml:space="preserve"> </w:t>
      </w:r>
      <w:r w:rsidR="00726341">
        <w:rPr>
          <w:rFonts w:ascii="Times New Roman" w:hAnsi="Times New Roman" w:cs="Times New Roman"/>
          <w:sz w:val="26"/>
          <w:szCs w:val="26"/>
        </w:rPr>
        <w:t>118, one of those purposes is</w:t>
      </w:r>
      <w:r w:rsidR="00013052">
        <w:rPr>
          <w:rFonts w:ascii="Times New Roman" w:hAnsi="Times New Roman" w:cs="Times New Roman"/>
          <w:sz w:val="26"/>
          <w:szCs w:val="26"/>
        </w:rPr>
        <w:t xml:space="preserve"> to </w:t>
      </w:r>
      <w:proofErr w:type="gramStart"/>
      <w:r w:rsidR="00013052">
        <w:rPr>
          <w:rFonts w:ascii="Times New Roman" w:hAnsi="Times New Roman" w:cs="Times New Roman"/>
          <w:sz w:val="26"/>
          <w:szCs w:val="26"/>
        </w:rPr>
        <w:t>fund  the</w:t>
      </w:r>
      <w:proofErr w:type="gramEnd"/>
      <w:r w:rsidR="00013052">
        <w:rPr>
          <w:rFonts w:ascii="Times New Roman" w:hAnsi="Times New Roman" w:cs="Times New Roman"/>
          <w:sz w:val="26"/>
          <w:szCs w:val="26"/>
        </w:rPr>
        <w:t xml:space="preserve"> operations of the Council. E</w:t>
      </w:r>
      <w:r w:rsidR="00726341">
        <w:rPr>
          <w:rFonts w:ascii="Times New Roman" w:hAnsi="Times New Roman" w:cs="Times New Roman"/>
          <w:sz w:val="26"/>
          <w:szCs w:val="26"/>
        </w:rPr>
        <w:t>ffectively, then,</w:t>
      </w:r>
      <w:r w:rsidR="00013052">
        <w:rPr>
          <w:rFonts w:ascii="Times New Roman" w:hAnsi="Times New Roman" w:cs="Times New Roman"/>
          <w:sz w:val="26"/>
          <w:szCs w:val="26"/>
        </w:rPr>
        <w:t xml:space="preserve"> OFR is </w:t>
      </w:r>
      <w:r w:rsidR="001C2AB7">
        <w:rPr>
          <w:rFonts w:ascii="Times New Roman" w:hAnsi="Times New Roman" w:cs="Times New Roman"/>
          <w:sz w:val="26"/>
          <w:szCs w:val="26"/>
        </w:rPr>
        <w:t>relatively free</w:t>
      </w:r>
      <w:r w:rsidR="00013052">
        <w:rPr>
          <w:rFonts w:ascii="Times New Roman" w:hAnsi="Times New Roman" w:cs="Times New Roman"/>
          <w:sz w:val="26"/>
          <w:szCs w:val="26"/>
        </w:rPr>
        <w:t xml:space="preserve"> of significant executive and congressional oversight con</w:t>
      </w:r>
      <w:r w:rsidR="00FA7237">
        <w:rPr>
          <w:rFonts w:ascii="Times New Roman" w:hAnsi="Times New Roman" w:cs="Times New Roman"/>
          <w:sz w:val="26"/>
          <w:szCs w:val="26"/>
        </w:rPr>
        <w:t>t</w:t>
      </w:r>
      <w:r w:rsidR="00013052">
        <w:rPr>
          <w:rFonts w:ascii="Times New Roman" w:hAnsi="Times New Roman" w:cs="Times New Roman"/>
          <w:sz w:val="26"/>
          <w:szCs w:val="26"/>
        </w:rPr>
        <w:t>rols</w:t>
      </w:r>
      <w:r w:rsidR="001C2AB7">
        <w:rPr>
          <w:rFonts w:ascii="Times New Roman" w:hAnsi="Times New Roman" w:cs="Times New Roman"/>
          <w:sz w:val="26"/>
          <w:szCs w:val="26"/>
        </w:rPr>
        <w:t xml:space="preserve"> and influences</w:t>
      </w:r>
      <w:r w:rsidR="00013052">
        <w:rPr>
          <w:rFonts w:ascii="Times New Roman" w:hAnsi="Times New Roman" w:cs="Times New Roman"/>
          <w:sz w:val="26"/>
          <w:szCs w:val="26"/>
        </w:rPr>
        <w:t>.</w:t>
      </w:r>
    </w:p>
    <w:p w:rsidR="00DC7CF9" w:rsidRDefault="00DC7CF9" w:rsidP="00DC7CF9">
      <w:pPr>
        <w:spacing w:after="0" w:line="240" w:lineRule="auto"/>
        <w:rPr>
          <w:rFonts w:ascii="Times New Roman" w:hAnsi="Times New Roman" w:cs="Times New Roman"/>
          <w:sz w:val="26"/>
          <w:szCs w:val="26"/>
        </w:rPr>
      </w:pPr>
    </w:p>
    <w:p w:rsidR="00685027" w:rsidRDefault="00DC7CF9" w:rsidP="00DC7CF9">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1C2AB7">
        <w:rPr>
          <w:rFonts w:ascii="Times New Roman" w:hAnsi="Times New Roman" w:cs="Times New Roman"/>
          <w:sz w:val="26"/>
          <w:szCs w:val="26"/>
        </w:rPr>
        <w:t>In an early optimistic commentary o</w:t>
      </w:r>
      <w:r w:rsidR="00D77D62">
        <w:rPr>
          <w:rFonts w:ascii="Times New Roman" w:hAnsi="Times New Roman" w:cs="Times New Roman"/>
          <w:sz w:val="26"/>
          <w:szCs w:val="26"/>
        </w:rPr>
        <w:t>n</w:t>
      </w:r>
      <w:r w:rsidR="001C2AB7">
        <w:rPr>
          <w:rFonts w:ascii="Times New Roman" w:hAnsi="Times New Roman" w:cs="Times New Roman"/>
          <w:sz w:val="26"/>
          <w:szCs w:val="26"/>
        </w:rPr>
        <w:t xml:space="preserve"> OFR’s potential for success, the author </w:t>
      </w:r>
      <w:proofErr w:type="gramStart"/>
      <w:r w:rsidR="001C2AB7">
        <w:rPr>
          <w:rFonts w:ascii="Times New Roman" w:hAnsi="Times New Roman" w:cs="Times New Roman"/>
          <w:sz w:val="26"/>
          <w:szCs w:val="26"/>
        </w:rPr>
        <w:t xml:space="preserve">emphasized </w:t>
      </w:r>
      <w:r>
        <w:rPr>
          <w:rFonts w:ascii="Times New Roman" w:hAnsi="Times New Roman" w:cs="Times New Roman"/>
          <w:sz w:val="26"/>
          <w:szCs w:val="26"/>
        </w:rPr>
        <w:t xml:space="preserve"> that</w:t>
      </w:r>
      <w:proofErr w:type="gramEnd"/>
      <w:r>
        <w:rPr>
          <w:rFonts w:ascii="Times New Roman" w:hAnsi="Times New Roman" w:cs="Times New Roman"/>
          <w:sz w:val="26"/>
          <w:szCs w:val="26"/>
        </w:rPr>
        <w:t xml:space="preserve"> it “is critical that the first Director be personally strong and exceptionally well regarded” and that the search should not be a “wonks-only affair.”  </w:t>
      </w:r>
      <w:r w:rsidR="001F2F3E">
        <w:rPr>
          <w:rFonts w:ascii="Times New Roman" w:hAnsi="Times New Roman" w:cs="Times New Roman"/>
          <w:sz w:val="26"/>
          <w:szCs w:val="26"/>
        </w:rPr>
        <w:t xml:space="preserve">“The </w:t>
      </w:r>
      <w:r>
        <w:rPr>
          <w:rFonts w:ascii="Times New Roman" w:hAnsi="Times New Roman" w:cs="Times New Roman"/>
          <w:sz w:val="26"/>
          <w:szCs w:val="26"/>
        </w:rPr>
        <w:t>OFR Di</w:t>
      </w:r>
      <w:r w:rsidR="00D77D62">
        <w:rPr>
          <w:rFonts w:ascii="Times New Roman" w:hAnsi="Times New Roman" w:cs="Times New Roman"/>
          <w:sz w:val="26"/>
          <w:szCs w:val="26"/>
        </w:rPr>
        <w:t>r</w:t>
      </w:r>
      <w:r>
        <w:rPr>
          <w:rFonts w:ascii="Times New Roman" w:hAnsi="Times New Roman" w:cs="Times New Roman"/>
          <w:sz w:val="26"/>
          <w:szCs w:val="26"/>
        </w:rPr>
        <w:t>ector must swiftly maximize all</w:t>
      </w:r>
      <w:r w:rsidR="00D77D62">
        <w:rPr>
          <w:rFonts w:ascii="Times New Roman" w:hAnsi="Times New Roman" w:cs="Times New Roman"/>
          <w:sz w:val="26"/>
          <w:szCs w:val="26"/>
        </w:rPr>
        <w:t xml:space="preserve"> </w:t>
      </w:r>
      <w:r>
        <w:rPr>
          <w:rFonts w:ascii="Times New Roman" w:hAnsi="Times New Roman" w:cs="Times New Roman"/>
          <w:sz w:val="26"/>
          <w:szCs w:val="26"/>
        </w:rPr>
        <w:t xml:space="preserve">statutory opportunities to create a culture of </w:t>
      </w:r>
      <w:proofErr w:type="gramStart"/>
      <w:r>
        <w:rPr>
          <w:rFonts w:ascii="Times New Roman" w:hAnsi="Times New Roman" w:cs="Times New Roman"/>
          <w:sz w:val="26"/>
          <w:szCs w:val="26"/>
        </w:rPr>
        <w:t>strength  and</w:t>
      </w:r>
      <w:proofErr w:type="gramEnd"/>
      <w:r>
        <w:rPr>
          <w:rFonts w:ascii="Times New Roman" w:hAnsi="Times New Roman" w:cs="Times New Roman"/>
          <w:sz w:val="26"/>
          <w:szCs w:val="26"/>
        </w:rPr>
        <w:t xml:space="preserve"> independence. The Director must also</w:t>
      </w:r>
      <w:r w:rsidR="00D77D62">
        <w:rPr>
          <w:rFonts w:ascii="Times New Roman" w:hAnsi="Times New Roman" w:cs="Times New Roman"/>
          <w:sz w:val="26"/>
          <w:szCs w:val="26"/>
        </w:rPr>
        <w:t xml:space="preserve"> </w:t>
      </w:r>
      <w:r>
        <w:rPr>
          <w:rFonts w:ascii="Times New Roman" w:hAnsi="Times New Roman" w:cs="Times New Roman"/>
          <w:sz w:val="26"/>
          <w:szCs w:val="26"/>
        </w:rPr>
        <w:t>go beyond the st</w:t>
      </w:r>
      <w:r w:rsidR="00D77D62">
        <w:rPr>
          <w:rFonts w:ascii="Times New Roman" w:hAnsi="Times New Roman" w:cs="Times New Roman"/>
          <w:sz w:val="26"/>
          <w:szCs w:val="26"/>
        </w:rPr>
        <w:t>a</w:t>
      </w:r>
      <w:r>
        <w:rPr>
          <w:rFonts w:ascii="Times New Roman" w:hAnsi="Times New Roman" w:cs="Times New Roman"/>
          <w:sz w:val="26"/>
          <w:szCs w:val="26"/>
        </w:rPr>
        <w:t>tutes</w:t>
      </w:r>
      <w:r w:rsidR="00943D6A">
        <w:rPr>
          <w:rFonts w:ascii="Times New Roman" w:hAnsi="Times New Roman" w:cs="Times New Roman"/>
          <w:sz w:val="26"/>
          <w:szCs w:val="26"/>
        </w:rPr>
        <w:t>’</w:t>
      </w:r>
      <w:r>
        <w:rPr>
          <w:rFonts w:ascii="Times New Roman" w:hAnsi="Times New Roman" w:cs="Times New Roman"/>
          <w:sz w:val="26"/>
          <w:szCs w:val="26"/>
        </w:rPr>
        <w:t xml:space="preserve"> bare </w:t>
      </w:r>
      <w:proofErr w:type="gramStart"/>
      <w:r>
        <w:rPr>
          <w:rFonts w:ascii="Times New Roman" w:hAnsi="Times New Roman" w:cs="Times New Roman"/>
          <w:sz w:val="26"/>
          <w:szCs w:val="26"/>
        </w:rPr>
        <w:t>bones  mandates</w:t>
      </w:r>
      <w:proofErr w:type="gramEnd"/>
      <w:r w:rsidR="00082E77">
        <w:rPr>
          <w:rFonts w:ascii="Times New Roman" w:hAnsi="Times New Roman" w:cs="Times New Roman"/>
          <w:sz w:val="26"/>
          <w:szCs w:val="26"/>
        </w:rPr>
        <w:t xml:space="preserve"> and fill out an agency that is more than just an extension of the Treasury and that has  the freedom  to seek out the advice of those economists and other experts who got it right.”</w:t>
      </w:r>
      <w:r w:rsidR="00D77D62">
        <w:rPr>
          <w:rFonts w:ascii="Times New Roman" w:hAnsi="Times New Roman" w:cs="Times New Roman"/>
          <w:sz w:val="26"/>
          <w:szCs w:val="26"/>
        </w:rPr>
        <w:t xml:space="preserve"> </w:t>
      </w:r>
      <w:r w:rsidR="00D77D62">
        <w:rPr>
          <w:rStyle w:val="FootnoteReference"/>
          <w:rFonts w:ascii="Times New Roman" w:hAnsi="Times New Roman" w:cs="Times New Roman"/>
          <w:sz w:val="26"/>
          <w:szCs w:val="26"/>
        </w:rPr>
        <w:footnoteReference w:id="57"/>
      </w:r>
      <w:r w:rsidR="00D77D62">
        <w:rPr>
          <w:rFonts w:ascii="Times New Roman" w:hAnsi="Times New Roman" w:cs="Times New Roman"/>
          <w:sz w:val="26"/>
          <w:szCs w:val="26"/>
        </w:rPr>
        <w:t xml:space="preserve"> </w:t>
      </w:r>
      <w:r w:rsidR="00470E3A">
        <w:rPr>
          <w:rFonts w:ascii="Times New Roman" w:hAnsi="Times New Roman" w:cs="Times New Roman"/>
          <w:sz w:val="26"/>
          <w:szCs w:val="26"/>
        </w:rPr>
        <w:t xml:space="preserve">President Obama nominated Richard Berner as the first Director of OFR on December 16, 2011, 17 months after the effective date of the DFA. </w:t>
      </w:r>
      <w:r w:rsidR="00685027">
        <w:rPr>
          <w:rFonts w:ascii="Times New Roman" w:hAnsi="Times New Roman" w:cs="Times New Roman"/>
          <w:sz w:val="26"/>
          <w:szCs w:val="26"/>
        </w:rPr>
        <w:t xml:space="preserve">Mr. </w:t>
      </w:r>
      <w:r w:rsidR="00470E3A">
        <w:rPr>
          <w:rFonts w:ascii="Times New Roman" w:hAnsi="Times New Roman" w:cs="Times New Roman"/>
          <w:sz w:val="26"/>
          <w:szCs w:val="26"/>
        </w:rPr>
        <w:t>Berner’s nomination was favorably reported out of the Senate Banking Committee on Ma</w:t>
      </w:r>
      <w:r w:rsidR="00685027">
        <w:rPr>
          <w:rFonts w:ascii="Times New Roman" w:hAnsi="Times New Roman" w:cs="Times New Roman"/>
          <w:sz w:val="26"/>
          <w:szCs w:val="26"/>
        </w:rPr>
        <w:t>y</w:t>
      </w:r>
      <w:r w:rsidR="00470E3A">
        <w:rPr>
          <w:rFonts w:ascii="Times New Roman" w:hAnsi="Times New Roman" w:cs="Times New Roman"/>
          <w:sz w:val="26"/>
          <w:szCs w:val="26"/>
        </w:rPr>
        <w:t xml:space="preserve"> 29,</w:t>
      </w:r>
      <w:r w:rsidR="00685027">
        <w:rPr>
          <w:rFonts w:ascii="Times New Roman" w:hAnsi="Times New Roman" w:cs="Times New Roman"/>
          <w:sz w:val="26"/>
          <w:szCs w:val="26"/>
        </w:rPr>
        <w:t xml:space="preserve"> </w:t>
      </w:r>
      <w:r w:rsidR="00470E3A">
        <w:rPr>
          <w:rFonts w:ascii="Times New Roman" w:hAnsi="Times New Roman" w:cs="Times New Roman"/>
          <w:sz w:val="26"/>
          <w:szCs w:val="26"/>
        </w:rPr>
        <w:t>2012</w:t>
      </w:r>
      <w:r w:rsidR="00685027">
        <w:rPr>
          <w:rFonts w:ascii="Times New Roman" w:hAnsi="Times New Roman" w:cs="Times New Roman"/>
          <w:sz w:val="26"/>
          <w:szCs w:val="26"/>
        </w:rPr>
        <w:t>,</w:t>
      </w:r>
      <w:r w:rsidR="00470E3A">
        <w:rPr>
          <w:rFonts w:ascii="Times New Roman" w:hAnsi="Times New Roman" w:cs="Times New Roman"/>
          <w:sz w:val="26"/>
          <w:szCs w:val="26"/>
        </w:rPr>
        <w:t xml:space="preserve"> but no floor action has yet to</w:t>
      </w:r>
      <w:r w:rsidR="00685027">
        <w:rPr>
          <w:rFonts w:ascii="Times New Roman" w:hAnsi="Times New Roman" w:cs="Times New Roman"/>
          <w:sz w:val="26"/>
          <w:szCs w:val="26"/>
        </w:rPr>
        <w:t xml:space="preserve"> be taken.</w:t>
      </w:r>
      <w:r w:rsidR="00470E3A">
        <w:rPr>
          <w:rFonts w:ascii="Times New Roman" w:hAnsi="Times New Roman" w:cs="Times New Roman"/>
          <w:sz w:val="26"/>
          <w:szCs w:val="26"/>
        </w:rPr>
        <w:t xml:space="preserve"> </w:t>
      </w:r>
    </w:p>
    <w:p w:rsidR="00685027" w:rsidRDefault="00685027" w:rsidP="00DC7CF9">
      <w:pPr>
        <w:spacing w:after="0" w:line="240" w:lineRule="auto"/>
        <w:rPr>
          <w:rFonts w:ascii="Times New Roman" w:hAnsi="Times New Roman" w:cs="Times New Roman"/>
          <w:sz w:val="26"/>
          <w:szCs w:val="26"/>
        </w:rPr>
      </w:pPr>
    </w:p>
    <w:p w:rsidR="001C2AB7" w:rsidRDefault="00685027" w:rsidP="00DC7CF9">
      <w:pPr>
        <w:spacing w:after="0" w:line="240" w:lineRule="auto"/>
        <w:rPr>
          <w:rFonts w:ascii="Times New Roman" w:hAnsi="Times New Roman" w:cs="Times New Roman"/>
          <w:sz w:val="26"/>
          <w:szCs w:val="26"/>
        </w:rPr>
      </w:pPr>
      <w:r>
        <w:rPr>
          <w:rFonts w:ascii="Times New Roman" w:hAnsi="Times New Roman" w:cs="Times New Roman"/>
          <w:sz w:val="26"/>
          <w:szCs w:val="26"/>
        </w:rPr>
        <w:tab/>
        <w:t>On June 18, 2012</w:t>
      </w:r>
      <w:r w:rsidR="00AB45F7">
        <w:rPr>
          <w:rFonts w:ascii="Times New Roman" w:hAnsi="Times New Roman" w:cs="Times New Roman"/>
          <w:sz w:val="26"/>
          <w:szCs w:val="26"/>
        </w:rPr>
        <w:t>, the Systemic Risk Council</w:t>
      </w:r>
      <w:r w:rsidR="00AB45F7">
        <w:rPr>
          <w:rStyle w:val="FootnoteReference"/>
          <w:rFonts w:ascii="Times New Roman" w:hAnsi="Times New Roman" w:cs="Times New Roman"/>
          <w:sz w:val="26"/>
          <w:szCs w:val="26"/>
        </w:rPr>
        <w:footnoteReference w:id="58"/>
      </w:r>
      <w:r w:rsidR="00470E3A">
        <w:rPr>
          <w:rFonts w:ascii="Times New Roman" w:hAnsi="Times New Roman" w:cs="Times New Roman"/>
          <w:sz w:val="26"/>
          <w:szCs w:val="26"/>
        </w:rPr>
        <w:t xml:space="preserve"> </w:t>
      </w:r>
      <w:r w:rsidR="0091345D">
        <w:rPr>
          <w:rFonts w:ascii="Times New Roman" w:hAnsi="Times New Roman" w:cs="Times New Roman"/>
          <w:sz w:val="26"/>
          <w:szCs w:val="26"/>
        </w:rPr>
        <w:t xml:space="preserve">issued “A Call to Action” over its </w:t>
      </w:r>
      <w:proofErr w:type="gramStart"/>
      <w:r w:rsidR="0091345D">
        <w:rPr>
          <w:rFonts w:ascii="Times New Roman" w:hAnsi="Times New Roman" w:cs="Times New Roman"/>
          <w:sz w:val="26"/>
          <w:szCs w:val="26"/>
        </w:rPr>
        <w:t>perception  that</w:t>
      </w:r>
      <w:proofErr w:type="gramEnd"/>
      <w:r w:rsidR="0091345D">
        <w:rPr>
          <w:rFonts w:ascii="Times New Roman" w:hAnsi="Times New Roman" w:cs="Times New Roman"/>
          <w:sz w:val="26"/>
          <w:szCs w:val="26"/>
        </w:rPr>
        <w:t xml:space="preserve"> “the lack of progress made by the members of the” FSOC and OFR to address the critical issues as mandated by the DFA derives</w:t>
      </w:r>
      <w:r w:rsidR="00F7699A">
        <w:rPr>
          <w:rFonts w:ascii="Times New Roman" w:hAnsi="Times New Roman" w:cs="Times New Roman"/>
          <w:sz w:val="26"/>
          <w:szCs w:val="26"/>
        </w:rPr>
        <w:t xml:space="preserve"> from “[a] sense of complacency [that] has made reforms for effective oversight seem less urgent despite </w:t>
      </w:r>
      <w:r w:rsidR="00F7699A">
        <w:rPr>
          <w:rFonts w:ascii="Times New Roman" w:hAnsi="Times New Roman" w:cs="Times New Roman"/>
          <w:sz w:val="26"/>
          <w:szCs w:val="26"/>
        </w:rPr>
        <w:lastRenderedPageBreak/>
        <w:t>escalating problems elsewhere in the global financial system.” It charges that “OFR has failed to establish and activate a robust data collection process…</w:t>
      </w:r>
      <w:r w:rsidR="00943D6A">
        <w:rPr>
          <w:rFonts w:ascii="Times New Roman" w:hAnsi="Times New Roman" w:cs="Times New Roman"/>
          <w:sz w:val="26"/>
          <w:szCs w:val="26"/>
        </w:rPr>
        <w:t xml:space="preserve">[that] </w:t>
      </w:r>
      <w:r w:rsidR="00F7699A">
        <w:rPr>
          <w:rFonts w:ascii="Times New Roman" w:hAnsi="Times New Roman" w:cs="Times New Roman"/>
          <w:sz w:val="26"/>
          <w:szCs w:val="26"/>
        </w:rPr>
        <w:t xml:space="preserve">includes the ability to collect, analyze and model vast amounts of information about financial markets and participants.” </w:t>
      </w:r>
      <w:r w:rsidR="00EB433A">
        <w:rPr>
          <w:rFonts w:ascii="Times New Roman" w:hAnsi="Times New Roman" w:cs="Times New Roman"/>
          <w:sz w:val="26"/>
          <w:szCs w:val="26"/>
        </w:rPr>
        <w:t xml:space="preserve">It further </w:t>
      </w:r>
      <w:proofErr w:type="gramStart"/>
      <w:r w:rsidR="00EB433A">
        <w:rPr>
          <w:rFonts w:ascii="Times New Roman" w:hAnsi="Times New Roman" w:cs="Times New Roman"/>
          <w:sz w:val="26"/>
          <w:szCs w:val="26"/>
        </w:rPr>
        <w:t>asserts that</w:t>
      </w:r>
      <w:proofErr w:type="gramEnd"/>
      <w:r w:rsidR="00EB433A">
        <w:rPr>
          <w:rFonts w:ascii="Times New Roman" w:hAnsi="Times New Roman" w:cs="Times New Roman"/>
          <w:sz w:val="26"/>
          <w:szCs w:val="26"/>
        </w:rPr>
        <w:t xml:space="preserve"> “OFR has yet to announce that it has established secure computing environments for data storage and sharing.</w:t>
      </w:r>
      <w:r w:rsidR="00DF2ED3">
        <w:rPr>
          <w:rFonts w:ascii="Times New Roman" w:hAnsi="Times New Roman" w:cs="Times New Roman"/>
          <w:sz w:val="26"/>
          <w:szCs w:val="26"/>
        </w:rPr>
        <w:t>”</w:t>
      </w:r>
      <w:r w:rsidR="00EB433A">
        <w:rPr>
          <w:rFonts w:ascii="Times New Roman" w:hAnsi="Times New Roman" w:cs="Times New Roman"/>
          <w:sz w:val="26"/>
          <w:szCs w:val="26"/>
        </w:rPr>
        <w:t xml:space="preserve"> </w:t>
      </w:r>
    </w:p>
    <w:p w:rsidR="00943D6A" w:rsidRDefault="00943D6A" w:rsidP="00DC7CF9">
      <w:pPr>
        <w:spacing w:after="0" w:line="240" w:lineRule="auto"/>
        <w:rPr>
          <w:rFonts w:ascii="Times New Roman" w:hAnsi="Times New Roman" w:cs="Times New Roman"/>
          <w:sz w:val="26"/>
          <w:szCs w:val="26"/>
        </w:rPr>
      </w:pPr>
    </w:p>
    <w:p w:rsidR="00972457" w:rsidRDefault="00943D6A" w:rsidP="00DC7CF9">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On June 27, 2012, the Treasury Department’s Inspector General issued an assessment </w:t>
      </w:r>
      <w:proofErr w:type="gramStart"/>
      <w:r>
        <w:rPr>
          <w:rFonts w:ascii="Times New Roman" w:hAnsi="Times New Roman" w:cs="Times New Roman"/>
          <w:sz w:val="26"/>
          <w:szCs w:val="26"/>
        </w:rPr>
        <w:t xml:space="preserve">of </w:t>
      </w:r>
      <w:r w:rsidR="00EE5023">
        <w:rPr>
          <w:rFonts w:ascii="Times New Roman" w:hAnsi="Times New Roman" w:cs="Times New Roman"/>
          <w:sz w:val="26"/>
          <w:szCs w:val="26"/>
        </w:rPr>
        <w:t xml:space="preserve"> the</w:t>
      </w:r>
      <w:proofErr w:type="gramEnd"/>
      <w:r w:rsidR="00EE5023">
        <w:rPr>
          <w:rFonts w:ascii="Times New Roman" w:hAnsi="Times New Roman" w:cs="Times New Roman"/>
          <w:sz w:val="26"/>
          <w:szCs w:val="26"/>
        </w:rPr>
        <w:t xml:space="preserve"> effectiveness and sta</w:t>
      </w:r>
      <w:r w:rsidR="00DF2ED3">
        <w:rPr>
          <w:rFonts w:ascii="Times New Roman" w:hAnsi="Times New Roman" w:cs="Times New Roman"/>
          <w:sz w:val="26"/>
          <w:szCs w:val="26"/>
        </w:rPr>
        <w:t>tu</w:t>
      </w:r>
      <w:r w:rsidR="00EE5023">
        <w:rPr>
          <w:rFonts w:ascii="Times New Roman" w:hAnsi="Times New Roman" w:cs="Times New Roman"/>
          <w:sz w:val="26"/>
          <w:szCs w:val="26"/>
        </w:rPr>
        <w:t xml:space="preserve">s of </w:t>
      </w:r>
      <w:r>
        <w:rPr>
          <w:rFonts w:ascii="Times New Roman" w:hAnsi="Times New Roman" w:cs="Times New Roman"/>
          <w:sz w:val="26"/>
          <w:szCs w:val="26"/>
        </w:rPr>
        <w:t xml:space="preserve">Treasury’s efforts </w:t>
      </w:r>
      <w:r w:rsidR="00EE5023">
        <w:rPr>
          <w:rFonts w:ascii="Times New Roman" w:hAnsi="Times New Roman" w:cs="Times New Roman"/>
          <w:sz w:val="26"/>
          <w:szCs w:val="26"/>
        </w:rPr>
        <w:t xml:space="preserve">after 21 months to establish OFR “in a manner that achieves its legislative mandate.” The IG concludes that the stand-up is still a work in progress, noting that </w:t>
      </w:r>
      <w:r w:rsidR="00BE7EAE">
        <w:rPr>
          <w:rFonts w:ascii="Times New Roman" w:hAnsi="Times New Roman" w:cs="Times New Roman"/>
          <w:sz w:val="26"/>
          <w:szCs w:val="26"/>
        </w:rPr>
        <w:t xml:space="preserve">in April 2012 </w:t>
      </w:r>
      <w:r w:rsidR="00DF2ED3">
        <w:rPr>
          <w:rFonts w:ascii="Times New Roman" w:hAnsi="Times New Roman" w:cs="Times New Roman"/>
          <w:sz w:val="26"/>
          <w:szCs w:val="26"/>
        </w:rPr>
        <w:t xml:space="preserve">it </w:t>
      </w:r>
      <w:r w:rsidR="00BE7EAE">
        <w:rPr>
          <w:rFonts w:ascii="Times New Roman" w:hAnsi="Times New Roman" w:cs="Times New Roman"/>
          <w:sz w:val="26"/>
          <w:szCs w:val="26"/>
        </w:rPr>
        <w:t>had finalized a comprehensive implementation plan that “lays out the expected evolution of OFR’s capabilities, reaching a mature state by fiscal year 2016. Concurrent with the development of its comprehensive implementation plan, OFR also began to develop its analytic</w:t>
      </w:r>
      <w:r w:rsidR="00E2525B">
        <w:rPr>
          <w:rFonts w:ascii="Times New Roman" w:hAnsi="Times New Roman" w:cs="Times New Roman"/>
          <w:sz w:val="26"/>
          <w:szCs w:val="26"/>
        </w:rPr>
        <w:t xml:space="preserve"> </w:t>
      </w:r>
      <w:r w:rsidR="00BE7EAE">
        <w:rPr>
          <w:rFonts w:ascii="Times New Roman" w:hAnsi="Times New Roman" w:cs="Times New Roman"/>
          <w:sz w:val="26"/>
          <w:szCs w:val="26"/>
        </w:rPr>
        <w:t xml:space="preserve">and data support for FSOC, and its Research and Analysis Center </w:t>
      </w:r>
      <w:r w:rsidR="00E2525B">
        <w:rPr>
          <w:rFonts w:ascii="Times New Roman" w:hAnsi="Times New Roman" w:cs="Times New Roman"/>
          <w:sz w:val="26"/>
          <w:szCs w:val="26"/>
        </w:rPr>
        <w:t>has sponsored seminars</w:t>
      </w:r>
      <w:r w:rsidR="00BE7EAE">
        <w:rPr>
          <w:rFonts w:ascii="Times New Roman" w:hAnsi="Times New Roman" w:cs="Times New Roman"/>
          <w:sz w:val="26"/>
          <w:szCs w:val="26"/>
        </w:rPr>
        <w:t xml:space="preserve"> </w:t>
      </w:r>
      <w:r w:rsidR="00E2525B">
        <w:rPr>
          <w:rFonts w:ascii="Times New Roman" w:hAnsi="Times New Roman" w:cs="Times New Roman"/>
          <w:sz w:val="26"/>
          <w:szCs w:val="26"/>
        </w:rPr>
        <w:t>and published two working papers on risk assessment topics.”</w:t>
      </w:r>
      <w:r w:rsidR="00E2525B">
        <w:rPr>
          <w:rStyle w:val="FootnoteReference"/>
          <w:rFonts w:ascii="Times New Roman" w:hAnsi="Times New Roman" w:cs="Times New Roman"/>
          <w:sz w:val="26"/>
          <w:szCs w:val="26"/>
        </w:rPr>
        <w:footnoteReference w:id="59"/>
      </w:r>
      <w:r w:rsidR="00BE7EAE">
        <w:rPr>
          <w:rFonts w:ascii="Times New Roman" w:hAnsi="Times New Roman" w:cs="Times New Roman"/>
          <w:sz w:val="26"/>
          <w:szCs w:val="26"/>
        </w:rPr>
        <w:t xml:space="preserve"> </w:t>
      </w:r>
      <w:r w:rsidR="00E2525B">
        <w:rPr>
          <w:rFonts w:ascii="Times New Roman" w:hAnsi="Times New Roman" w:cs="Times New Roman"/>
          <w:sz w:val="26"/>
          <w:szCs w:val="26"/>
        </w:rPr>
        <w:t xml:space="preserve">The IG made no mention of the effect of the absence of a confirmed Director </w:t>
      </w:r>
      <w:r w:rsidR="00DF2ED3">
        <w:rPr>
          <w:rFonts w:ascii="Times New Roman" w:hAnsi="Times New Roman" w:cs="Times New Roman"/>
          <w:sz w:val="26"/>
          <w:szCs w:val="26"/>
        </w:rPr>
        <w:t xml:space="preserve">was having, </w:t>
      </w:r>
      <w:r w:rsidR="00E2525B">
        <w:rPr>
          <w:rFonts w:ascii="Times New Roman" w:hAnsi="Times New Roman" w:cs="Times New Roman"/>
          <w:sz w:val="26"/>
          <w:szCs w:val="26"/>
        </w:rPr>
        <w:t>but commented</w:t>
      </w:r>
      <w:r w:rsidR="00972457">
        <w:rPr>
          <w:rFonts w:ascii="Times New Roman" w:hAnsi="Times New Roman" w:cs="Times New Roman"/>
          <w:sz w:val="26"/>
          <w:szCs w:val="26"/>
        </w:rPr>
        <w:t xml:space="preserve"> that OFR has taken “longer than might have been expected to implement a project management capability and finalize a comprehensive implementation plan. OFR”s operational success will depend, in part, on its ability to execute its plan.”</w:t>
      </w:r>
      <w:r w:rsidR="00972457">
        <w:rPr>
          <w:rStyle w:val="FootnoteReference"/>
          <w:rFonts w:ascii="Times New Roman" w:hAnsi="Times New Roman" w:cs="Times New Roman"/>
          <w:sz w:val="26"/>
          <w:szCs w:val="26"/>
        </w:rPr>
        <w:footnoteReference w:id="60"/>
      </w:r>
    </w:p>
    <w:p w:rsidR="00972457" w:rsidRDefault="00972457" w:rsidP="00DC7CF9">
      <w:pPr>
        <w:spacing w:after="0" w:line="240" w:lineRule="auto"/>
        <w:rPr>
          <w:rFonts w:ascii="Times New Roman" w:hAnsi="Times New Roman" w:cs="Times New Roman"/>
          <w:sz w:val="26"/>
          <w:szCs w:val="26"/>
        </w:rPr>
      </w:pPr>
    </w:p>
    <w:p w:rsidR="00972457" w:rsidRDefault="00972457" w:rsidP="00DC7CF9">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972457" w:rsidRDefault="00972457" w:rsidP="00DC7CF9">
      <w:pPr>
        <w:spacing w:after="0" w:line="240" w:lineRule="auto"/>
        <w:rPr>
          <w:rFonts w:ascii="Times New Roman" w:hAnsi="Times New Roman" w:cs="Times New Roman"/>
          <w:sz w:val="26"/>
          <w:szCs w:val="26"/>
        </w:rPr>
      </w:pPr>
    </w:p>
    <w:p w:rsidR="0067562C" w:rsidRDefault="00972457"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t>This brief description past and current instances of presidential manipulation of the nomination power belies the OLC opinion</w:t>
      </w:r>
      <w:r w:rsidR="00216CF9">
        <w:rPr>
          <w:rFonts w:ascii="Times New Roman" w:hAnsi="Times New Roman" w:cs="Times New Roman"/>
          <w:sz w:val="26"/>
          <w:szCs w:val="26"/>
        </w:rPr>
        <w:t>’</w:t>
      </w:r>
      <w:r>
        <w:rPr>
          <w:rFonts w:ascii="Times New Roman" w:hAnsi="Times New Roman" w:cs="Times New Roman"/>
          <w:sz w:val="26"/>
          <w:szCs w:val="26"/>
        </w:rPr>
        <w:t>s assertion</w:t>
      </w:r>
      <w:r w:rsidR="00216CF9">
        <w:rPr>
          <w:rFonts w:ascii="Times New Roman" w:hAnsi="Times New Roman" w:cs="Times New Roman"/>
          <w:sz w:val="26"/>
          <w:szCs w:val="26"/>
        </w:rPr>
        <w:t xml:space="preserve"> that Senate pro forma sessions unconstitutionally interfere with the President’s role in the appointments scheme. Rather, it confirms the thesis presented here: At each stage of the appointments the political actor’s </w:t>
      </w:r>
      <w:r w:rsidR="00DD0D2C">
        <w:rPr>
          <w:rFonts w:ascii="Times New Roman" w:hAnsi="Times New Roman" w:cs="Times New Roman"/>
          <w:sz w:val="26"/>
          <w:szCs w:val="26"/>
        </w:rPr>
        <w:t>role is plenary, exclusive and judicially unreviewable. The</w:t>
      </w:r>
      <w:r w:rsidR="00216CF9">
        <w:rPr>
          <w:rFonts w:ascii="Times New Roman" w:hAnsi="Times New Roman" w:cs="Times New Roman"/>
          <w:sz w:val="26"/>
          <w:szCs w:val="26"/>
        </w:rPr>
        <w:t xml:space="preserve"> </w:t>
      </w:r>
      <w:r w:rsidR="00DD0D2C">
        <w:rPr>
          <w:rFonts w:ascii="Times New Roman" w:hAnsi="Times New Roman" w:cs="Times New Roman"/>
          <w:sz w:val="26"/>
          <w:szCs w:val="26"/>
        </w:rPr>
        <w:t xml:space="preserve">examples just recounted underline that the only remedy available </w:t>
      </w:r>
      <w:r w:rsidR="00DF2ED3">
        <w:rPr>
          <w:rFonts w:ascii="Times New Roman" w:hAnsi="Times New Roman" w:cs="Times New Roman"/>
          <w:sz w:val="26"/>
          <w:szCs w:val="26"/>
        </w:rPr>
        <w:t>for delays by</w:t>
      </w:r>
      <w:r w:rsidR="00DD0D2C">
        <w:rPr>
          <w:rFonts w:ascii="Times New Roman" w:hAnsi="Times New Roman" w:cs="Times New Roman"/>
          <w:sz w:val="26"/>
          <w:szCs w:val="26"/>
        </w:rPr>
        <w:t xml:space="preserve"> political actors is resort to the political processes. That theme and conclusion is buttressed in the following </w:t>
      </w:r>
      <w:proofErr w:type="gramStart"/>
      <w:r w:rsidR="00DD0D2C">
        <w:rPr>
          <w:rFonts w:ascii="Times New Roman" w:hAnsi="Times New Roman" w:cs="Times New Roman"/>
          <w:sz w:val="26"/>
          <w:szCs w:val="26"/>
        </w:rPr>
        <w:t>examination  of</w:t>
      </w:r>
      <w:proofErr w:type="gramEnd"/>
      <w:r w:rsidR="00DD0D2C">
        <w:rPr>
          <w:rFonts w:ascii="Times New Roman" w:hAnsi="Times New Roman" w:cs="Times New Roman"/>
          <w:sz w:val="26"/>
          <w:szCs w:val="26"/>
        </w:rPr>
        <w:t xml:space="preserve"> the commissioning and confirmation stages of the appointments process.</w:t>
      </w:r>
      <w:r>
        <w:rPr>
          <w:rFonts w:ascii="Times New Roman" w:hAnsi="Times New Roman" w:cs="Times New Roman"/>
          <w:sz w:val="26"/>
          <w:szCs w:val="26"/>
        </w:rPr>
        <w:t xml:space="preserve"> </w:t>
      </w:r>
      <w:r w:rsidR="00151C14">
        <w:rPr>
          <w:rFonts w:ascii="Times New Roman" w:hAnsi="Times New Roman" w:cs="Times New Roman"/>
          <w:sz w:val="26"/>
          <w:szCs w:val="26"/>
        </w:rPr>
        <w:t xml:space="preserve">  </w:t>
      </w:r>
      <w:r w:rsidR="00726341">
        <w:rPr>
          <w:rFonts w:ascii="Times New Roman" w:hAnsi="Times New Roman" w:cs="Times New Roman"/>
          <w:sz w:val="26"/>
          <w:szCs w:val="26"/>
        </w:rPr>
        <w:t xml:space="preserve"> </w:t>
      </w:r>
      <w:r w:rsidR="00FF151F">
        <w:rPr>
          <w:rFonts w:ascii="Times New Roman" w:hAnsi="Times New Roman" w:cs="Times New Roman"/>
          <w:sz w:val="26"/>
          <w:szCs w:val="26"/>
        </w:rPr>
        <w:t xml:space="preserve">    </w:t>
      </w:r>
    </w:p>
    <w:p w:rsidR="00720414" w:rsidRDefault="00720414" w:rsidP="00544E21">
      <w:pPr>
        <w:spacing w:after="0" w:line="240" w:lineRule="auto"/>
        <w:rPr>
          <w:rFonts w:ascii="Times New Roman" w:hAnsi="Times New Roman" w:cs="Times New Roman"/>
          <w:sz w:val="26"/>
          <w:szCs w:val="26"/>
        </w:rPr>
      </w:pPr>
    </w:p>
    <w:p w:rsidR="00720414" w:rsidRDefault="00720414"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5C2B73" w:rsidRDefault="0067562C"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775ADA">
        <w:rPr>
          <w:rFonts w:ascii="Times New Roman" w:hAnsi="Times New Roman" w:cs="Times New Roman"/>
          <w:sz w:val="26"/>
          <w:szCs w:val="26"/>
        </w:rPr>
        <w:t xml:space="preserve"> </w:t>
      </w:r>
      <w:r w:rsidR="00B460D9">
        <w:rPr>
          <w:rFonts w:ascii="Times New Roman" w:hAnsi="Times New Roman" w:cs="Times New Roman"/>
          <w:sz w:val="26"/>
          <w:szCs w:val="26"/>
        </w:rPr>
        <w:t xml:space="preserve"> </w:t>
      </w:r>
      <w:r w:rsidR="00DA5E97">
        <w:rPr>
          <w:rFonts w:ascii="Times New Roman" w:hAnsi="Times New Roman" w:cs="Times New Roman"/>
          <w:sz w:val="26"/>
          <w:szCs w:val="26"/>
        </w:rPr>
        <w:t xml:space="preserve">  </w:t>
      </w:r>
      <w:r w:rsidR="00F42194">
        <w:rPr>
          <w:rFonts w:ascii="Times New Roman" w:hAnsi="Times New Roman" w:cs="Times New Roman"/>
          <w:sz w:val="26"/>
          <w:szCs w:val="26"/>
        </w:rPr>
        <w:t xml:space="preserve"> </w:t>
      </w:r>
      <w:r w:rsidR="005C2B73">
        <w:rPr>
          <w:rFonts w:ascii="Times New Roman" w:hAnsi="Times New Roman" w:cs="Times New Roman"/>
          <w:sz w:val="26"/>
          <w:szCs w:val="26"/>
        </w:rPr>
        <w:t xml:space="preserve">  </w:t>
      </w:r>
    </w:p>
    <w:p w:rsidR="00555B51" w:rsidRDefault="00555B51" w:rsidP="00544E21">
      <w:pPr>
        <w:spacing w:after="0" w:line="240" w:lineRule="auto"/>
        <w:rPr>
          <w:rFonts w:ascii="Times New Roman" w:hAnsi="Times New Roman" w:cs="Times New Roman"/>
          <w:sz w:val="26"/>
          <w:szCs w:val="26"/>
        </w:rPr>
      </w:pPr>
    </w:p>
    <w:p w:rsidR="000809A3" w:rsidRDefault="00555B51"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4B5DE5">
        <w:rPr>
          <w:rFonts w:ascii="Times New Roman" w:hAnsi="Times New Roman" w:cs="Times New Roman"/>
          <w:sz w:val="26"/>
          <w:szCs w:val="26"/>
        </w:rPr>
        <w:t xml:space="preserve"> </w:t>
      </w:r>
      <w:r w:rsidR="0047435A">
        <w:rPr>
          <w:rFonts w:ascii="Times New Roman" w:hAnsi="Times New Roman" w:cs="Times New Roman"/>
          <w:sz w:val="26"/>
          <w:szCs w:val="26"/>
        </w:rPr>
        <w:t xml:space="preserve"> </w:t>
      </w:r>
      <w:r w:rsidR="00E57A7A">
        <w:rPr>
          <w:rFonts w:ascii="Times New Roman" w:hAnsi="Times New Roman" w:cs="Times New Roman"/>
          <w:sz w:val="26"/>
          <w:szCs w:val="26"/>
        </w:rPr>
        <w:t xml:space="preserve"> </w:t>
      </w:r>
      <w:r w:rsidR="0082223F">
        <w:rPr>
          <w:rFonts w:ascii="Times New Roman" w:hAnsi="Times New Roman" w:cs="Times New Roman"/>
          <w:sz w:val="26"/>
          <w:szCs w:val="26"/>
        </w:rPr>
        <w:t xml:space="preserve">   </w:t>
      </w:r>
      <w:r w:rsidR="000809A3">
        <w:rPr>
          <w:rFonts w:ascii="Times New Roman" w:hAnsi="Times New Roman" w:cs="Times New Roman"/>
          <w:sz w:val="26"/>
          <w:szCs w:val="26"/>
        </w:rPr>
        <w:tab/>
      </w:r>
      <w:r w:rsidR="00E838B9">
        <w:rPr>
          <w:rFonts w:ascii="Times New Roman" w:hAnsi="Times New Roman" w:cs="Times New Roman"/>
          <w:sz w:val="26"/>
          <w:szCs w:val="26"/>
        </w:rPr>
        <w:t xml:space="preserve">  </w:t>
      </w:r>
    </w:p>
    <w:p w:rsidR="005E3843" w:rsidRDefault="000E5EA3"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2D42B0">
        <w:rPr>
          <w:rFonts w:ascii="Times New Roman" w:hAnsi="Times New Roman" w:cs="Times New Roman"/>
          <w:sz w:val="26"/>
          <w:szCs w:val="26"/>
        </w:rPr>
        <w:t xml:space="preserve"> </w:t>
      </w:r>
      <w:r w:rsidR="00CB2499">
        <w:rPr>
          <w:rFonts w:ascii="Times New Roman" w:hAnsi="Times New Roman" w:cs="Times New Roman"/>
          <w:sz w:val="26"/>
          <w:szCs w:val="26"/>
        </w:rPr>
        <w:t xml:space="preserve"> </w:t>
      </w:r>
      <w:r w:rsidR="006C1296">
        <w:rPr>
          <w:rFonts w:ascii="Times New Roman" w:hAnsi="Times New Roman" w:cs="Times New Roman"/>
          <w:sz w:val="26"/>
          <w:szCs w:val="26"/>
        </w:rPr>
        <w:t xml:space="preserve">  </w:t>
      </w:r>
      <w:r w:rsidR="004F0A28">
        <w:rPr>
          <w:rFonts w:ascii="Times New Roman" w:hAnsi="Times New Roman" w:cs="Times New Roman"/>
          <w:sz w:val="26"/>
          <w:szCs w:val="26"/>
        </w:rPr>
        <w:t xml:space="preserve"> </w:t>
      </w:r>
      <w:r w:rsidR="002A121C">
        <w:rPr>
          <w:rFonts w:ascii="Times New Roman" w:hAnsi="Times New Roman" w:cs="Times New Roman"/>
          <w:sz w:val="26"/>
          <w:szCs w:val="26"/>
        </w:rPr>
        <w:t xml:space="preserve"> </w:t>
      </w:r>
      <w:r w:rsidR="0036069E">
        <w:rPr>
          <w:rFonts w:ascii="Times New Roman" w:hAnsi="Times New Roman" w:cs="Times New Roman"/>
          <w:sz w:val="26"/>
          <w:szCs w:val="26"/>
        </w:rPr>
        <w:t xml:space="preserve">  </w:t>
      </w:r>
      <w:r w:rsidR="001D113E">
        <w:rPr>
          <w:rFonts w:ascii="Times New Roman" w:hAnsi="Times New Roman" w:cs="Times New Roman"/>
          <w:sz w:val="26"/>
          <w:szCs w:val="26"/>
        </w:rPr>
        <w:t xml:space="preserve"> </w:t>
      </w:r>
      <w:r w:rsidR="00A57012">
        <w:rPr>
          <w:rFonts w:ascii="Times New Roman" w:hAnsi="Times New Roman" w:cs="Times New Roman"/>
          <w:sz w:val="26"/>
          <w:szCs w:val="26"/>
        </w:rPr>
        <w:t xml:space="preserve"> </w:t>
      </w:r>
    </w:p>
    <w:p w:rsidR="00872A09" w:rsidRDefault="00872A09" w:rsidP="00544E21">
      <w:pPr>
        <w:spacing w:after="0" w:line="240" w:lineRule="auto"/>
        <w:rPr>
          <w:rFonts w:ascii="Times New Roman" w:hAnsi="Times New Roman" w:cs="Times New Roman"/>
          <w:sz w:val="26"/>
          <w:szCs w:val="26"/>
        </w:rPr>
      </w:pPr>
    </w:p>
    <w:p w:rsidR="00502908" w:rsidRDefault="00872A09"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5333CE">
        <w:rPr>
          <w:rFonts w:ascii="Times New Roman" w:hAnsi="Times New Roman" w:cs="Times New Roman"/>
          <w:sz w:val="26"/>
          <w:szCs w:val="26"/>
        </w:rPr>
        <w:t xml:space="preserve">  </w:t>
      </w:r>
    </w:p>
    <w:p w:rsidR="00441488" w:rsidRDefault="00441488" w:rsidP="00544E21">
      <w:pPr>
        <w:spacing w:after="0" w:line="240" w:lineRule="auto"/>
        <w:rPr>
          <w:rFonts w:ascii="Times New Roman" w:hAnsi="Times New Roman" w:cs="Times New Roman"/>
          <w:sz w:val="26"/>
          <w:szCs w:val="26"/>
        </w:rPr>
      </w:pPr>
    </w:p>
    <w:p w:rsidR="007918AB" w:rsidRPr="007918AB" w:rsidRDefault="007918AB" w:rsidP="007918AB">
      <w:pPr>
        <w:spacing w:after="0" w:line="240" w:lineRule="auto"/>
        <w:ind w:left="900"/>
        <w:rPr>
          <w:rFonts w:ascii="Times New Roman" w:hAnsi="Times New Roman" w:cs="Times New Roman"/>
          <w:i/>
          <w:sz w:val="26"/>
          <w:szCs w:val="26"/>
        </w:rPr>
      </w:pPr>
      <w:r w:rsidRPr="007918AB">
        <w:rPr>
          <w:rFonts w:ascii="Times New Roman" w:hAnsi="Times New Roman" w:cs="Times New Roman"/>
          <w:i/>
          <w:sz w:val="26"/>
          <w:szCs w:val="26"/>
        </w:rPr>
        <w:t xml:space="preserve"> </w:t>
      </w:r>
    </w:p>
    <w:p w:rsidR="00502908" w:rsidRDefault="00502908" w:rsidP="00544E21">
      <w:pPr>
        <w:spacing w:after="0" w:line="240" w:lineRule="auto"/>
        <w:rPr>
          <w:rFonts w:ascii="Times New Roman" w:hAnsi="Times New Roman" w:cs="Times New Roman"/>
          <w:sz w:val="26"/>
          <w:szCs w:val="26"/>
        </w:rPr>
      </w:pPr>
    </w:p>
    <w:p w:rsidR="003C454C" w:rsidRPr="00515123" w:rsidRDefault="0068019A" w:rsidP="00544E2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84238F">
        <w:rPr>
          <w:rFonts w:ascii="Times New Roman" w:hAnsi="Times New Roman" w:cs="Times New Roman"/>
          <w:sz w:val="26"/>
          <w:szCs w:val="26"/>
        </w:rPr>
        <w:t xml:space="preserve">   </w:t>
      </w:r>
      <w:r w:rsidR="007405CA">
        <w:rPr>
          <w:rFonts w:ascii="Times New Roman" w:hAnsi="Times New Roman" w:cs="Times New Roman"/>
          <w:sz w:val="26"/>
          <w:szCs w:val="26"/>
        </w:rPr>
        <w:t xml:space="preserve">    </w:t>
      </w:r>
      <w:r w:rsidR="00F46A4B">
        <w:rPr>
          <w:rFonts w:ascii="Times New Roman" w:hAnsi="Times New Roman" w:cs="Times New Roman"/>
          <w:sz w:val="26"/>
          <w:szCs w:val="26"/>
        </w:rPr>
        <w:t xml:space="preserve">  </w:t>
      </w:r>
    </w:p>
    <w:p w:rsidR="00E7229A" w:rsidRPr="002E012F" w:rsidRDefault="00E7229A" w:rsidP="00515123">
      <w:pPr>
        <w:spacing w:after="0" w:line="240" w:lineRule="auto"/>
        <w:ind w:left="720"/>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p>
    <w:p w:rsidR="00984193"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 </w:t>
      </w:r>
      <w:r w:rsidR="00DC4ED5">
        <w:rPr>
          <w:rFonts w:ascii="Times New Roman" w:hAnsi="Times New Roman" w:cs="Times New Roman"/>
          <w:b/>
          <w:sz w:val="26"/>
          <w:szCs w:val="26"/>
        </w:rPr>
        <w:t>2. Presidential Control</w:t>
      </w:r>
      <w:r w:rsidR="00D11918">
        <w:rPr>
          <w:rFonts w:ascii="Times New Roman" w:hAnsi="Times New Roman" w:cs="Times New Roman"/>
          <w:b/>
          <w:sz w:val="26"/>
          <w:szCs w:val="26"/>
        </w:rPr>
        <w:t xml:space="preserve"> of Appointments and Commissioning. </w:t>
      </w:r>
      <w:r w:rsidRPr="00FC2C06">
        <w:rPr>
          <w:rFonts w:ascii="Times New Roman" w:hAnsi="Times New Roman" w:cs="Times New Roman"/>
          <w:sz w:val="26"/>
          <w:szCs w:val="26"/>
        </w:rPr>
        <w:t xml:space="preserve">The President is also insulated in the third stage of the process.  An appointment to an office is not completed until the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signs a commission.  Even after approval by the Senate the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may change his mind, and the confirmed appointee will be denied his or her position.</w:t>
      </w:r>
      <w:r w:rsidRPr="00FC2C06">
        <w:rPr>
          <w:rStyle w:val="FootnoteReference"/>
          <w:rFonts w:ascii="Times New Roman" w:hAnsi="Times New Roman" w:cs="Times New Roman"/>
          <w:sz w:val="26"/>
          <w:szCs w:val="26"/>
        </w:rPr>
        <w:footnoteReference w:id="61"/>
      </w:r>
      <w:r w:rsidRPr="00FC2C06">
        <w:rPr>
          <w:rFonts w:ascii="Times New Roman" w:hAnsi="Times New Roman" w:cs="Times New Roman"/>
          <w:sz w:val="26"/>
          <w:szCs w:val="26"/>
        </w:rPr>
        <w:t xml:space="preserve">  But once the commission is signed, the appointment is complete and a court may command its delivery to the appointee.  The </w:t>
      </w:r>
      <w:r>
        <w:rPr>
          <w:rFonts w:ascii="Times New Roman" w:hAnsi="Times New Roman" w:cs="Times New Roman"/>
          <w:sz w:val="26"/>
          <w:szCs w:val="26"/>
        </w:rPr>
        <w:t>P</w:t>
      </w:r>
      <w:r w:rsidRPr="00FC2C06">
        <w:rPr>
          <w:rFonts w:ascii="Times New Roman" w:hAnsi="Times New Roman" w:cs="Times New Roman"/>
          <w:sz w:val="26"/>
          <w:szCs w:val="26"/>
        </w:rPr>
        <w:t xml:space="preserve">resident, however, is bound by his nomination and cannot commission an officer for a post different from the one for which he was nominated.  Finally, the Supreme Court </w:t>
      </w:r>
      <w:r w:rsidR="00824C2A">
        <w:rPr>
          <w:rFonts w:ascii="Times New Roman" w:hAnsi="Times New Roman" w:cs="Times New Roman"/>
          <w:sz w:val="26"/>
          <w:szCs w:val="26"/>
        </w:rPr>
        <w:t xml:space="preserve">in </w:t>
      </w:r>
      <w:r w:rsidR="00824C2A">
        <w:rPr>
          <w:rFonts w:ascii="Times New Roman" w:hAnsi="Times New Roman" w:cs="Times New Roman"/>
          <w:i/>
          <w:sz w:val="26"/>
          <w:szCs w:val="26"/>
        </w:rPr>
        <w:t xml:space="preserve">United States v. Smith </w:t>
      </w:r>
      <w:r w:rsidRPr="00FC2C06">
        <w:rPr>
          <w:rFonts w:ascii="Times New Roman" w:hAnsi="Times New Roman" w:cs="Times New Roman"/>
          <w:sz w:val="26"/>
          <w:szCs w:val="26"/>
        </w:rPr>
        <w:t xml:space="preserve">has held that the Senate cannot change its mind about a confirmation after having assented to it, notifying the </w:t>
      </w:r>
      <w:r>
        <w:rPr>
          <w:rFonts w:ascii="Times New Roman" w:hAnsi="Times New Roman" w:cs="Times New Roman"/>
          <w:sz w:val="26"/>
          <w:szCs w:val="26"/>
        </w:rPr>
        <w:t>P</w:t>
      </w:r>
      <w:r w:rsidRPr="00FC2C06">
        <w:rPr>
          <w:rFonts w:ascii="Times New Roman" w:hAnsi="Times New Roman" w:cs="Times New Roman"/>
          <w:sz w:val="26"/>
          <w:szCs w:val="26"/>
        </w:rPr>
        <w:t xml:space="preserve">resident of its assent and the </w:t>
      </w:r>
      <w:r>
        <w:rPr>
          <w:rFonts w:ascii="Times New Roman" w:hAnsi="Times New Roman" w:cs="Times New Roman"/>
          <w:sz w:val="26"/>
          <w:szCs w:val="26"/>
        </w:rPr>
        <w:t>P</w:t>
      </w:r>
      <w:r w:rsidRPr="00FC2C06">
        <w:rPr>
          <w:rFonts w:ascii="Times New Roman" w:hAnsi="Times New Roman" w:cs="Times New Roman"/>
          <w:sz w:val="26"/>
          <w:szCs w:val="26"/>
        </w:rPr>
        <w:t>resident having signed the commission.</w:t>
      </w:r>
      <w:r w:rsidRPr="00FC2C06">
        <w:rPr>
          <w:rStyle w:val="FootnoteReference"/>
          <w:rFonts w:ascii="Times New Roman" w:hAnsi="Times New Roman" w:cs="Times New Roman"/>
          <w:sz w:val="26"/>
          <w:szCs w:val="26"/>
        </w:rPr>
        <w:footnoteReference w:id="62"/>
      </w:r>
      <w:r w:rsidR="00824C2A">
        <w:rPr>
          <w:rFonts w:ascii="Times New Roman" w:hAnsi="Times New Roman" w:cs="Times New Roman"/>
          <w:sz w:val="26"/>
          <w:szCs w:val="26"/>
        </w:rPr>
        <w:t xml:space="preserve"> That ruling confirms the understanding that the President and the Senate must respect the constitutional formalities vested in and employed by each other. In </w:t>
      </w:r>
      <w:r w:rsidR="00DF2ED3">
        <w:rPr>
          <w:rFonts w:ascii="Times New Roman" w:hAnsi="Times New Roman" w:cs="Times New Roman"/>
          <w:i/>
          <w:sz w:val="26"/>
          <w:szCs w:val="26"/>
        </w:rPr>
        <w:t>Smith</w:t>
      </w:r>
      <w:r w:rsidR="00824C2A">
        <w:rPr>
          <w:rFonts w:ascii="Times New Roman" w:hAnsi="Times New Roman" w:cs="Times New Roman"/>
          <w:sz w:val="26"/>
          <w:szCs w:val="26"/>
        </w:rPr>
        <w:t xml:space="preserve">, the Court considered whether George Otis Smith was appointed to the Federal </w:t>
      </w:r>
      <w:r w:rsidR="00FF4816">
        <w:rPr>
          <w:rFonts w:ascii="Times New Roman" w:hAnsi="Times New Roman" w:cs="Times New Roman"/>
          <w:sz w:val="26"/>
          <w:szCs w:val="26"/>
        </w:rPr>
        <w:t>P</w:t>
      </w:r>
      <w:r w:rsidR="00824C2A">
        <w:rPr>
          <w:rFonts w:ascii="Times New Roman" w:hAnsi="Times New Roman" w:cs="Times New Roman"/>
          <w:sz w:val="26"/>
          <w:szCs w:val="26"/>
        </w:rPr>
        <w:t xml:space="preserve">ower Commission. On December 20, 1930, the Secretary of the Senate formally notified the President of the confirmation, and the </w:t>
      </w:r>
      <w:r w:rsidR="00FF4816">
        <w:rPr>
          <w:rFonts w:ascii="Times New Roman" w:hAnsi="Times New Roman" w:cs="Times New Roman"/>
          <w:sz w:val="26"/>
          <w:szCs w:val="26"/>
        </w:rPr>
        <w:t>P</w:t>
      </w:r>
      <w:r w:rsidR="00824C2A">
        <w:rPr>
          <w:rFonts w:ascii="Times New Roman" w:hAnsi="Times New Roman" w:cs="Times New Roman"/>
          <w:sz w:val="26"/>
          <w:szCs w:val="26"/>
        </w:rPr>
        <w:t>resident the same day signed and had delivered to Smith a commission appointing him to the office. On January 5, 1931, the first day the Senate was again in session after the confirmation</w:t>
      </w:r>
      <w:r w:rsidR="00984193">
        <w:rPr>
          <w:rFonts w:ascii="Times New Roman" w:hAnsi="Times New Roman" w:cs="Times New Roman"/>
          <w:sz w:val="26"/>
          <w:szCs w:val="26"/>
        </w:rPr>
        <w:t xml:space="preserve"> </w:t>
      </w:r>
      <w:r w:rsidR="00824C2A">
        <w:rPr>
          <w:rFonts w:ascii="Times New Roman" w:hAnsi="Times New Roman" w:cs="Times New Roman"/>
          <w:sz w:val="26"/>
          <w:szCs w:val="26"/>
        </w:rPr>
        <w:t xml:space="preserve">vote, the Senate reconsidered </w:t>
      </w:r>
      <w:r w:rsidR="00984193">
        <w:rPr>
          <w:rFonts w:ascii="Times New Roman" w:hAnsi="Times New Roman" w:cs="Times New Roman"/>
          <w:sz w:val="26"/>
          <w:szCs w:val="26"/>
        </w:rPr>
        <w:t>Smith’s nomination and asked the President to return the resolution of confirmation. The President refused on the ground that he had already appointed Smith.</w:t>
      </w:r>
    </w:p>
    <w:p w:rsidR="00E7229A" w:rsidRDefault="00E7229A" w:rsidP="00D067DB">
      <w:pPr>
        <w:spacing w:after="0" w:line="240" w:lineRule="auto"/>
        <w:rPr>
          <w:rFonts w:ascii="Times New Roman" w:hAnsi="Times New Roman" w:cs="Times New Roman"/>
          <w:sz w:val="26"/>
          <w:szCs w:val="26"/>
        </w:rPr>
      </w:pPr>
    </w:p>
    <w:p w:rsidR="00984193" w:rsidRPr="00FC2C06" w:rsidRDefault="00984193"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The Court held that Smith was validly </w:t>
      </w:r>
      <w:proofErr w:type="gramStart"/>
      <w:r>
        <w:rPr>
          <w:rFonts w:ascii="Times New Roman" w:hAnsi="Times New Roman" w:cs="Times New Roman"/>
          <w:sz w:val="26"/>
          <w:szCs w:val="26"/>
        </w:rPr>
        <w:t>appointed  despite</w:t>
      </w:r>
      <w:proofErr w:type="gramEnd"/>
      <w:r>
        <w:rPr>
          <w:rFonts w:ascii="Times New Roman" w:hAnsi="Times New Roman" w:cs="Times New Roman"/>
          <w:sz w:val="26"/>
          <w:szCs w:val="26"/>
        </w:rPr>
        <w:t xml:space="preserve"> the Senate’s reconsideration of its consent to the nomination. Writing for the Court, Justice Brandeis noted that “[</w:t>
      </w:r>
      <w:proofErr w:type="gramStart"/>
      <w:r>
        <w:rPr>
          <w:rFonts w:ascii="Times New Roman" w:hAnsi="Times New Roman" w:cs="Times New Roman"/>
          <w:sz w:val="26"/>
          <w:szCs w:val="26"/>
        </w:rPr>
        <w:t>i]t</w:t>
      </w:r>
      <w:proofErr w:type="gramEnd"/>
      <w:r>
        <w:rPr>
          <w:rFonts w:ascii="Times New Roman" w:hAnsi="Times New Roman" w:cs="Times New Roman"/>
          <w:sz w:val="26"/>
          <w:szCs w:val="26"/>
        </w:rPr>
        <w:t xml:space="preserve"> is essential to the orderly conduct of public business  that formality be observed  in the relations  between different branches of the government charged with concurrent duties, and that each branch be able to rely upon definite and formal notice of action by another.”</w:t>
      </w:r>
      <w:r>
        <w:rPr>
          <w:rStyle w:val="FootnoteReference"/>
          <w:rFonts w:ascii="Times New Roman" w:hAnsi="Times New Roman" w:cs="Times New Roman"/>
          <w:sz w:val="26"/>
          <w:szCs w:val="26"/>
        </w:rPr>
        <w:footnoteReference w:id="63"/>
      </w:r>
      <w:r>
        <w:rPr>
          <w:rFonts w:ascii="Times New Roman" w:hAnsi="Times New Roman" w:cs="Times New Roman"/>
          <w:sz w:val="26"/>
          <w:szCs w:val="26"/>
        </w:rPr>
        <w:t xml:space="preserve"> Justice Brandeis rejected the notion that the Senate could retract a confirmation after formal notification</w:t>
      </w:r>
      <w:r w:rsidR="005A4B45">
        <w:rPr>
          <w:rFonts w:ascii="Times New Roman" w:hAnsi="Times New Roman" w:cs="Times New Roman"/>
          <w:sz w:val="26"/>
          <w:szCs w:val="26"/>
        </w:rPr>
        <w:t xml:space="preserve"> to the President and appointment, explaining that “[</w:t>
      </w:r>
      <w:proofErr w:type="gramStart"/>
      <w:r w:rsidR="005A4B45">
        <w:rPr>
          <w:rFonts w:ascii="Times New Roman" w:hAnsi="Times New Roman" w:cs="Times New Roman"/>
          <w:sz w:val="26"/>
          <w:szCs w:val="26"/>
        </w:rPr>
        <w:t>t]he</w:t>
      </w:r>
      <w:proofErr w:type="gramEnd"/>
      <w:r w:rsidR="005A4B45">
        <w:rPr>
          <w:rFonts w:ascii="Times New Roman" w:hAnsi="Times New Roman" w:cs="Times New Roman"/>
          <w:sz w:val="26"/>
          <w:szCs w:val="26"/>
        </w:rPr>
        <w:t xml:space="preserve"> uncertainty and confusion which would be engendered by such a construction repel its adoption.”</w:t>
      </w:r>
      <w:r w:rsidR="005A4B45">
        <w:rPr>
          <w:rStyle w:val="FootnoteReference"/>
          <w:rFonts w:ascii="Times New Roman" w:hAnsi="Times New Roman" w:cs="Times New Roman"/>
          <w:sz w:val="26"/>
          <w:szCs w:val="26"/>
        </w:rPr>
        <w:footnoteReference w:id="64"/>
      </w:r>
      <w:r w:rsidR="005A4B45">
        <w:rPr>
          <w:rFonts w:ascii="Times New Roman" w:hAnsi="Times New Roman" w:cs="Times New Roman"/>
          <w:sz w:val="26"/>
          <w:szCs w:val="26"/>
        </w:rPr>
        <w:t xml:space="preserve"> Similarly, when the Senate declares that it is in session, the President must honor that formality. To allow the President to deem the Senate in recess on a day that the Senate regards itself as in session, and on that basis make a recess appointment he could not otherwise make, would sow great “uncertainty and confusion” over the duties of the Senate and the President as to the nomination, confirmation and appointments of executive</w:t>
      </w:r>
      <w:r w:rsidR="00D11918">
        <w:rPr>
          <w:rFonts w:ascii="Times New Roman" w:hAnsi="Times New Roman" w:cs="Times New Roman"/>
          <w:sz w:val="26"/>
          <w:szCs w:val="26"/>
        </w:rPr>
        <w:t xml:space="preserve"> </w:t>
      </w:r>
      <w:r w:rsidR="005A4B45">
        <w:rPr>
          <w:rFonts w:ascii="Times New Roman" w:hAnsi="Times New Roman" w:cs="Times New Roman"/>
          <w:sz w:val="26"/>
          <w:szCs w:val="26"/>
        </w:rPr>
        <w:t>officers.</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lastRenderedPageBreak/>
        <w:tab/>
      </w:r>
      <w:r w:rsidR="00D11918">
        <w:rPr>
          <w:rFonts w:ascii="Times New Roman" w:hAnsi="Times New Roman" w:cs="Times New Roman"/>
          <w:b/>
          <w:sz w:val="26"/>
          <w:szCs w:val="26"/>
        </w:rPr>
        <w:t xml:space="preserve">3. Senate Control of the Confirmation Process. </w:t>
      </w:r>
      <w:r w:rsidRPr="00FC2C06">
        <w:rPr>
          <w:rFonts w:ascii="Times New Roman" w:hAnsi="Times New Roman" w:cs="Times New Roman"/>
          <w:sz w:val="26"/>
          <w:szCs w:val="26"/>
        </w:rPr>
        <w:t>While the nomination and commissioning stage are within the exclusive domain of the Executive, the confirmation stage is solely the province of the Senate.</w:t>
      </w:r>
      <w:r w:rsidRPr="00FC2C06">
        <w:rPr>
          <w:rStyle w:val="FootnoteReference"/>
          <w:rFonts w:ascii="Times New Roman" w:hAnsi="Times New Roman" w:cs="Times New Roman"/>
          <w:sz w:val="26"/>
          <w:szCs w:val="26"/>
        </w:rPr>
        <w:footnoteReference w:id="65"/>
      </w:r>
      <w:r w:rsidRPr="00FC2C06">
        <w:rPr>
          <w:rFonts w:ascii="Times New Roman" w:hAnsi="Times New Roman" w:cs="Times New Roman"/>
          <w:sz w:val="26"/>
          <w:szCs w:val="26"/>
        </w:rPr>
        <w:t xml:space="preserve">  The Senate may confirm or reject or not act at all.  With its constitutional authority to determine its rules of proceedings</w:t>
      </w:r>
      <w:r w:rsidRPr="00FC2C06">
        <w:rPr>
          <w:rStyle w:val="FootnoteReference"/>
          <w:rFonts w:ascii="Times New Roman" w:hAnsi="Times New Roman" w:cs="Times New Roman"/>
          <w:sz w:val="26"/>
          <w:szCs w:val="26"/>
        </w:rPr>
        <w:footnoteReference w:id="66"/>
      </w:r>
      <w:r w:rsidRPr="00FC2C06">
        <w:rPr>
          <w:rFonts w:ascii="Times New Roman" w:hAnsi="Times New Roman" w:cs="Times New Roman"/>
          <w:sz w:val="26"/>
          <w:szCs w:val="26"/>
        </w:rPr>
        <w:t xml:space="preserve"> it can make confirmations easy (through unanimous consent resolutions), difficult (through threats of filibuster and the need for 60 votes for cloture), or impossible (by staying in session continuously).  OLC concedes that Congress can defeat nominations by staying in continuous session</w:t>
      </w:r>
      <w:r w:rsidRPr="00FC2C06">
        <w:rPr>
          <w:rStyle w:val="FootnoteReference"/>
          <w:rFonts w:ascii="Times New Roman" w:hAnsi="Times New Roman" w:cs="Times New Roman"/>
          <w:sz w:val="26"/>
          <w:szCs w:val="26"/>
        </w:rPr>
        <w:footnoteReference w:id="67"/>
      </w:r>
      <w:r w:rsidRPr="00FC2C06">
        <w:rPr>
          <w:rFonts w:ascii="Times New Roman" w:hAnsi="Times New Roman" w:cs="Times New Roman"/>
          <w:sz w:val="26"/>
          <w:szCs w:val="26"/>
        </w:rPr>
        <w:t xml:space="preserve"> and cannot challenge the legality of the filibuster.  The Framers saw no difficulty in an outcome that left an office vacant.  The remedy, after the failure of negotiation and compromise, would come through public judgment of the political process.  </w:t>
      </w:r>
      <w:proofErr w:type="gramStart"/>
      <w:r w:rsidRPr="00FC2C06">
        <w:rPr>
          <w:rFonts w:ascii="Times New Roman" w:hAnsi="Times New Roman" w:cs="Times New Roman"/>
          <w:sz w:val="26"/>
          <w:szCs w:val="26"/>
        </w:rPr>
        <w:t xml:space="preserve">This was made clear by Justice Scalia writing for a unanimous Court in </w:t>
      </w:r>
      <w:r w:rsidRPr="00FC2C06">
        <w:rPr>
          <w:rFonts w:ascii="Times New Roman" w:hAnsi="Times New Roman" w:cs="Times New Roman"/>
          <w:i/>
          <w:iCs/>
          <w:sz w:val="26"/>
          <w:szCs w:val="26"/>
        </w:rPr>
        <w:t>Edmond v. United States</w:t>
      </w:r>
      <w:proofErr w:type="gramEnd"/>
      <w:r w:rsidRPr="00FC2C06">
        <w:rPr>
          <w:rFonts w:ascii="Times New Roman" w:hAnsi="Times New Roman" w:cs="Times New Roman"/>
          <w:i/>
          <w:iCs/>
          <w:sz w:val="26"/>
          <w:szCs w:val="26"/>
        </w:rPr>
        <w:t xml:space="preserve"> </w:t>
      </w:r>
      <w:r w:rsidRPr="00FC2C06">
        <w:rPr>
          <w:rFonts w:ascii="Times New Roman" w:hAnsi="Times New Roman" w:cs="Times New Roman"/>
          <w:sz w:val="26"/>
          <w:szCs w:val="26"/>
        </w:rPr>
        <w:t>(1997):</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CA12B1">
      <w:pPr>
        <w:spacing w:after="0" w:line="240" w:lineRule="auto"/>
        <w:ind w:left="720" w:right="720"/>
        <w:rPr>
          <w:rFonts w:ascii="Times New Roman" w:hAnsi="Times New Roman" w:cs="Times New Roman"/>
          <w:sz w:val="26"/>
          <w:szCs w:val="26"/>
        </w:rPr>
      </w:pPr>
      <w:r w:rsidRPr="00FC2C06">
        <w:rPr>
          <w:rFonts w:ascii="Times New Roman" w:hAnsi="Times New Roman" w:cs="Times New Roman"/>
          <w:sz w:val="26"/>
          <w:szCs w:val="26"/>
        </w:rPr>
        <w:t>[</w:t>
      </w:r>
      <w:proofErr w:type="gramStart"/>
      <w:r w:rsidRPr="00FC2C06">
        <w:rPr>
          <w:rFonts w:ascii="Times New Roman" w:hAnsi="Times New Roman" w:cs="Times New Roman"/>
          <w:sz w:val="26"/>
          <w:szCs w:val="26"/>
        </w:rPr>
        <w:t>T]he</w:t>
      </w:r>
      <w:proofErr w:type="gramEnd"/>
      <w:r w:rsidRPr="00FC2C06">
        <w:rPr>
          <w:rFonts w:ascii="Times New Roman" w:hAnsi="Times New Roman" w:cs="Times New Roman"/>
          <w:sz w:val="26"/>
          <w:szCs w:val="26"/>
        </w:rPr>
        <w:t xml:space="preserve"> Appointments Clause is more than a matter of “etiquette or protocol;”  it is</w:t>
      </w:r>
      <w:r>
        <w:rPr>
          <w:rFonts w:ascii="Times New Roman" w:hAnsi="Times New Roman" w:cs="Times New Roman"/>
          <w:sz w:val="26"/>
          <w:szCs w:val="26"/>
        </w:rPr>
        <w:t xml:space="preserve"> </w:t>
      </w:r>
      <w:r w:rsidRPr="00FC2C06">
        <w:rPr>
          <w:rFonts w:ascii="Times New Roman" w:hAnsi="Times New Roman" w:cs="Times New Roman"/>
          <w:sz w:val="26"/>
          <w:szCs w:val="26"/>
        </w:rPr>
        <w:t>among the significant structural safeguards of the constitutional scheme. By vesting the President with the exclusive power to select the principal</w:t>
      </w:r>
      <w:r>
        <w:rPr>
          <w:rFonts w:ascii="Times New Roman" w:hAnsi="Times New Roman" w:cs="Times New Roman"/>
          <w:sz w:val="26"/>
          <w:szCs w:val="26"/>
        </w:rPr>
        <w:t xml:space="preserve"> …</w:t>
      </w:r>
      <w:r w:rsidRPr="00FC2C06">
        <w:rPr>
          <w:rFonts w:ascii="Times New Roman" w:hAnsi="Times New Roman" w:cs="Times New Roman"/>
          <w:sz w:val="26"/>
          <w:szCs w:val="26"/>
        </w:rPr>
        <w:t xml:space="preserve"> officers of the United States, the Appointments Clause prevents </w:t>
      </w:r>
      <w:proofErr w:type="gramStart"/>
      <w:r w:rsidRPr="00FC2C06">
        <w:rPr>
          <w:rFonts w:ascii="Times New Roman" w:hAnsi="Times New Roman" w:cs="Times New Roman"/>
          <w:sz w:val="26"/>
          <w:szCs w:val="26"/>
        </w:rPr>
        <w:t>congressional  encroachment</w:t>
      </w:r>
      <w:proofErr w:type="gramEnd"/>
      <w:r w:rsidRPr="00FC2C06">
        <w:rPr>
          <w:rFonts w:ascii="Times New Roman" w:hAnsi="Times New Roman" w:cs="Times New Roman"/>
          <w:sz w:val="26"/>
          <w:szCs w:val="26"/>
        </w:rPr>
        <w:t xml:space="preserve"> upon the Executive and Judicial branches….This disposition was designed to ensure higher quality of appointments; the Framers anticipated that the President would be less vulnerable to</w:t>
      </w:r>
      <w:r>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Pr="00FC2C06">
        <w:rPr>
          <w:rFonts w:ascii="Times New Roman" w:hAnsi="Times New Roman" w:cs="Times New Roman"/>
          <w:sz w:val="26"/>
          <w:szCs w:val="26"/>
        </w:rPr>
        <w:t>interest group pressure and personal favoritism than a collective body</w:t>
      </w:r>
      <w:r>
        <w:rPr>
          <w:rFonts w:ascii="Times New Roman" w:hAnsi="Times New Roman" w:cs="Times New Roman"/>
          <w:sz w:val="26"/>
          <w:szCs w:val="26"/>
        </w:rPr>
        <w:t xml:space="preserve">. “The sole </w:t>
      </w:r>
      <w:proofErr w:type="gramStart"/>
      <w:r>
        <w:rPr>
          <w:rFonts w:ascii="Times New Roman" w:hAnsi="Times New Roman" w:cs="Times New Roman"/>
          <w:sz w:val="26"/>
          <w:szCs w:val="26"/>
        </w:rPr>
        <w:t xml:space="preserve">and  </w:t>
      </w:r>
      <w:r w:rsidRPr="00FC2C06">
        <w:rPr>
          <w:rFonts w:ascii="Times New Roman" w:hAnsi="Times New Roman" w:cs="Times New Roman"/>
          <w:sz w:val="26"/>
          <w:szCs w:val="26"/>
        </w:rPr>
        <w:t>undivided</w:t>
      </w:r>
      <w:proofErr w:type="gramEnd"/>
      <w:r w:rsidRPr="00FC2C06">
        <w:rPr>
          <w:rFonts w:ascii="Times New Roman" w:hAnsi="Times New Roman" w:cs="Times New Roman"/>
          <w:sz w:val="26"/>
          <w:szCs w:val="26"/>
        </w:rPr>
        <w:t xml:space="preserve"> responsibility of one man will naturally beget a</w:t>
      </w:r>
      <w:r>
        <w:rPr>
          <w:rFonts w:ascii="Times New Roman" w:hAnsi="Times New Roman" w:cs="Times New Roman"/>
          <w:sz w:val="26"/>
          <w:szCs w:val="26"/>
        </w:rPr>
        <w:t xml:space="preserve"> livelier sense of duty, and a </w:t>
      </w:r>
      <w:r w:rsidRPr="00FC2C06">
        <w:rPr>
          <w:rFonts w:ascii="Times New Roman" w:hAnsi="Times New Roman" w:cs="Times New Roman"/>
          <w:sz w:val="26"/>
          <w:szCs w:val="26"/>
        </w:rPr>
        <w:t xml:space="preserve">more exact regard to </w:t>
      </w:r>
      <w:r>
        <w:rPr>
          <w:rFonts w:ascii="Times New Roman" w:hAnsi="Times New Roman" w:cs="Times New Roman"/>
          <w:sz w:val="26"/>
          <w:szCs w:val="26"/>
        </w:rPr>
        <w:t>r</w:t>
      </w:r>
      <w:r w:rsidRPr="00FC2C06">
        <w:rPr>
          <w:rFonts w:ascii="Times New Roman" w:hAnsi="Times New Roman" w:cs="Times New Roman"/>
          <w:sz w:val="26"/>
          <w:szCs w:val="26"/>
        </w:rPr>
        <w:t>eputation.” [</w:t>
      </w:r>
      <w:proofErr w:type="gramStart"/>
      <w:r w:rsidRPr="00FC2C06">
        <w:rPr>
          <w:rFonts w:ascii="Times New Roman" w:hAnsi="Times New Roman" w:cs="Times New Roman"/>
          <w:sz w:val="26"/>
          <w:szCs w:val="26"/>
        </w:rPr>
        <w:t>citing</w:t>
      </w:r>
      <w:proofErr w:type="gramEnd"/>
      <w:r w:rsidRPr="00FC2C06">
        <w:rPr>
          <w:rFonts w:ascii="Times New Roman" w:hAnsi="Times New Roman" w:cs="Times New Roman"/>
          <w:sz w:val="26"/>
          <w:szCs w:val="26"/>
        </w:rPr>
        <w:t xml:space="preserve"> Hamilton and S</w:t>
      </w:r>
      <w:r>
        <w:rPr>
          <w:rFonts w:ascii="Times New Roman" w:hAnsi="Times New Roman" w:cs="Times New Roman"/>
          <w:sz w:val="26"/>
          <w:szCs w:val="26"/>
        </w:rPr>
        <w:t xml:space="preserve">tory] The </w:t>
      </w:r>
      <w:r w:rsidR="00121AB6">
        <w:rPr>
          <w:rFonts w:ascii="Times New Roman" w:hAnsi="Times New Roman" w:cs="Times New Roman"/>
          <w:sz w:val="26"/>
          <w:szCs w:val="26"/>
        </w:rPr>
        <w:t>P</w:t>
      </w:r>
      <w:r>
        <w:rPr>
          <w:rFonts w:ascii="Times New Roman" w:hAnsi="Times New Roman" w:cs="Times New Roman"/>
          <w:sz w:val="26"/>
          <w:szCs w:val="26"/>
        </w:rPr>
        <w:t xml:space="preserve">resident’s power to </w:t>
      </w:r>
      <w:r w:rsidRPr="00FC2C06">
        <w:rPr>
          <w:rFonts w:ascii="Times New Roman" w:hAnsi="Times New Roman" w:cs="Times New Roman"/>
          <w:sz w:val="26"/>
          <w:szCs w:val="26"/>
        </w:rPr>
        <w:t xml:space="preserve">select principal officers of the United States was not left </w:t>
      </w:r>
      <w:r>
        <w:rPr>
          <w:rFonts w:ascii="Times New Roman" w:hAnsi="Times New Roman" w:cs="Times New Roman"/>
          <w:sz w:val="26"/>
          <w:szCs w:val="26"/>
        </w:rPr>
        <w:t xml:space="preserve">unguarded, however, as Article </w:t>
      </w:r>
      <w:r w:rsidRPr="00FC2C06">
        <w:rPr>
          <w:rFonts w:ascii="Times New Roman" w:hAnsi="Times New Roman" w:cs="Times New Roman"/>
          <w:sz w:val="26"/>
          <w:szCs w:val="26"/>
        </w:rPr>
        <w:t xml:space="preserve">II further requires “Advice and Consent of the Senate.” This serves both to curb executive abuses of the appointment power . . </w:t>
      </w:r>
      <w:proofErr w:type="gramStart"/>
      <w:r w:rsidRPr="00FC2C06">
        <w:rPr>
          <w:rFonts w:ascii="Times New Roman" w:hAnsi="Times New Roman" w:cs="Times New Roman"/>
          <w:sz w:val="26"/>
          <w:szCs w:val="26"/>
        </w:rPr>
        <w:t>. .</w:t>
      </w:r>
      <w:proofErr w:type="gramEnd"/>
      <w:r w:rsidRPr="00FC2C06">
        <w:rPr>
          <w:rFonts w:ascii="Times New Roman" w:hAnsi="Times New Roman" w:cs="Times New Roman"/>
          <w:sz w:val="26"/>
          <w:szCs w:val="26"/>
        </w:rPr>
        <w:t xml:space="preserve"> </w:t>
      </w:r>
      <w:proofErr w:type="gramStart"/>
      <w:r w:rsidRPr="00FC2C06">
        <w:rPr>
          <w:rFonts w:ascii="Times New Roman" w:hAnsi="Times New Roman" w:cs="Times New Roman"/>
          <w:sz w:val="26"/>
          <w:szCs w:val="26"/>
        </w:rPr>
        <w:t>and</w:t>
      </w:r>
      <w:proofErr w:type="gramEnd"/>
      <w:r w:rsidRPr="00FC2C06">
        <w:rPr>
          <w:rFonts w:ascii="Times New Roman" w:hAnsi="Times New Roman" w:cs="Times New Roman"/>
          <w:sz w:val="26"/>
          <w:szCs w:val="26"/>
        </w:rPr>
        <w:t xml:space="preserve"> to promote a judicious choice of [persons] for filling the offices of the union….By requiring the joint participation of the </w:t>
      </w:r>
      <w:r w:rsidR="00121AB6">
        <w:rPr>
          <w:rFonts w:ascii="Times New Roman" w:hAnsi="Times New Roman" w:cs="Times New Roman"/>
          <w:sz w:val="26"/>
          <w:szCs w:val="26"/>
        </w:rPr>
        <w:t>P</w:t>
      </w:r>
      <w:r w:rsidRPr="00FC2C06">
        <w:rPr>
          <w:rFonts w:ascii="Times New Roman" w:hAnsi="Times New Roman" w:cs="Times New Roman"/>
          <w:sz w:val="26"/>
          <w:szCs w:val="26"/>
        </w:rPr>
        <w:t>resident and the Senate, the Appointments Clause was designed to ensure public accountability for both the making of a bad appointment and the rejection of a good one.</w:t>
      </w:r>
      <w:r w:rsidRPr="00FC2C06">
        <w:rPr>
          <w:rStyle w:val="FootnoteReference"/>
          <w:rFonts w:ascii="Times New Roman" w:hAnsi="Times New Roman" w:cs="Times New Roman"/>
          <w:sz w:val="26"/>
          <w:szCs w:val="26"/>
        </w:rPr>
        <w:footnoteReference w:id="68"/>
      </w:r>
    </w:p>
    <w:p w:rsidR="00E7229A" w:rsidRPr="00FC2C06" w:rsidRDefault="00E7229A" w:rsidP="00EA3FFA">
      <w:pPr>
        <w:spacing w:after="0" w:line="240" w:lineRule="auto"/>
        <w:ind w:left="720" w:right="720"/>
        <w:rPr>
          <w:rFonts w:ascii="Times New Roman" w:hAnsi="Times New Roman" w:cs="Times New Roman"/>
          <w:sz w:val="26"/>
          <w:szCs w:val="26"/>
        </w:rPr>
      </w:pPr>
    </w:p>
    <w:p w:rsidR="00E7229A" w:rsidRPr="00FC2C06" w:rsidRDefault="00E7229A" w:rsidP="00E45ED9">
      <w:pPr>
        <w:tabs>
          <w:tab w:val="left" w:pos="9360"/>
        </w:tabs>
        <w:spacing w:after="0" w:line="240" w:lineRule="auto"/>
        <w:rPr>
          <w:rFonts w:ascii="Times New Roman" w:hAnsi="Times New Roman" w:cs="Times New Roman"/>
          <w:sz w:val="26"/>
          <w:szCs w:val="26"/>
        </w:rPr>
      </w:pPr>
      <w:r w:rsidRPr="00FC2C06">
        <w:rPr>
          <w:rFonts w:ascii="Times New Roman" w:hAnsi="Times New Roman" w:cs="Times New Roman"/>
          <w:sz w:val="26"/>
          <w:szCs w:val="26"/>
        </w:rPr>
        <w:t xml:space="preserve">Justice Scalia went on to quote Alexander Hamilton: “The blame of a bad </w:t>
      </w:r>
      <w:r>
        <w:rPr>
          <w:rFonts w:ascii="Times New Roman" w:hAnsi="Times New Roman" w:cs="Times New Roman"/>
          <w:sz w:val="26"/>
          <w:szCs w:val="26"/>
        </w:rPr>
        <w:t>nomination would fall upon the P</w:t>
      </w:r>
      <w:r w:rsidRPr="00FC2C06">
        <w:rPr>
          <w:rFonts w:ascii="Times New Roman" w:hAnsi="Times New Roman" w:cs="Times New Roman"/>
          <w:sz w:val="26"/>
          <w:szCs w:val="26"/>
        </w:rPr>
        <w:t xml:space="preserve">resident singly and absolutely.  The censure of rejecting a good one would lie entirely at the door of the senate; aggravated by the consideration of having counteracted the good intentions of the </w:t>
      </w:r>
      <w:r w:rsidR="0083422A">
        <w:rPr>
          <w:rFonts w:ascii="Times New Roman" w:hAnsi="Times New Roman" w:cs="Times New Roman"/>
          <w:sz w:val="26"/>
          <w:szCs w:val="26"/>
        </w:rPr>
        <w:t>e</w:t>
      </w:r>
      <w:r w:rsidR="00121AB6">
        <w:rPr>
          <w:rFonts w:ascii="Times New Roman" w:hAnsi="Times New Roman" w:cs="Times New Roman"/>
          <w:sz w:val="26"/>
          <w:szCs w:val="26"/>
        </w:rPr>
        <w:t>xecutive</w:t>
      </w:r>
      <w:r w:rsidRPr="00FC2C06">
        <w:rPr>
          <w:rFonts w:ascii="Times New Roman" w:hAnsi="Times New Roman" w:cs="Times New Roman"/>
          <w:sz w:val="26"/>
          <w:szCs w:val="26"/>
        </w:rPr>
        <w:t xml:space="preserve">.  If an ill appointment should be made, </w:t>
      </w:r>
      <w:r w:rsidRPr="00FC2C06">
        <w:rPr>
          <w:rFonts w:ascii="Times New Roman" w:hAnsi="Times New Roman" w:cs="Times New Roman"/>
          <w:sz w:val="26"/>
          <w:szCs w:val="26"/>
        </w:rPr>
        <w:lastRenderedPageBreak/>
        <w:t xml:space="preserve">the </w:t>
      </w:r>
      <w:r w:rsidR="0083422A">
        <w:rPr>
          <w:rFonts w:ascii="Times New Roman" w:hAnsi="Times New Roman" w:cs="Times New Roman"/>
          <w:sz w:val="26"/>
          <w:szCs w:val="26"/>
        </w:rPr>
        <w:t>e</w:t>
      </w:r>
      <w:r w:rsidR="00121AB6">
        <w:rPr>
          <w:rFonts w:ascii="Times New Roman" w:hAnsi="Times New Roman" w:cs="Times New Roman"/>
          <w:sz w:val="26"/>
          <w:szCs w:val="26"/>
        </w:rPr>
        <w:t>xecutive</w:t>
      </w:r>
      <w:r w:rsidRPr="00FC2C06">
        <w:rPr>
          <w:rFonts w:ascii="Times New Roman" w:hAnsi="Times New Roman" w:cs="Times New Roman"/>
          <w:sz w:val="26"/>
          <w:szCs w:val="26"/>
        </w:rPr>
        <w:t xml:space="preserve"> for nominating, and the </w:t>
      </w:r>
      <w:r w:rsidR="0083422A">
        <w:rPr>
          <w:rFonts w:ascii="Times New Roman" w:hAnsi="Times New Roman" w:cs="Times New Roman"/>
          <w:sz w:val="26"/>
          <w:szCs w:val="26"/>
        </w:rPr>
        <w:t>S</w:t>
      </w:r>
      <w:r w:rsidRPr="00FC2C06">
        <w:rPr>
          <w:rFonts w:ascii="Times New Roman" w:hAnsi="Times New Roman" w:cs="Times New Roman"/>
          <w:sz w:val="26"/>
          <w:szCs w:val="26"/>
        </w:rPr>
        <w:t>enate for approving, would participate, though in different degrees, in opprobrium and disgrace.”</w:t>
      </w:r>
      <w:r w:rsidRPr="00FC2C06">
        <w:rPr>
          <w:rStyle w:val="FootnoteReference"/>
          <w:rFonts w:ascii="Times New Roman" w:hAnsi="Times New Roman" w:cs="Times New Roman"/>
          <w:sz w:val="26"/>
          <w:szCs w:val="26"/>
        </w:rPr>
        <w:footnoteReference w:id="69"/>
      </w:r>
      <w:r w:rsidRPr="00FC2C06">
        <w:rPr>
          <w:rFonts w:ascii="Times New Roman" w:hAnsi="Times New Roman" w:cs="Times New Roman"/>
          <w:sz w:val="26"/>
          <w:szCs w:val="26"/>
        </w:rPr>
        <w:t xml:space="preserve"> </w:t>
      </w:r>
    </w:p>
    <w:p w:rsidR="00E7229A" w:rsidRPr="00FC2C06" w:rsidRDefault="00E7229A" w:rsidP="00E45ED9">
      <w:pPr>
        <w:tabs>
          <w:tab w:val="left" w:pos="9360"/>
        </w:tabs>
        <w:spacing w:after="0" w:line="240" w:lineRule="auto"/>
        <w:rPr>
          <w:rFonts w:ascii="Times New Roman" w:hAnsi="Times New Roman" w:cs="Times New Roman"/>
          <w:sz w:val="26"/>
          <w:szCs w:val="26"/>
        </w:rPr>
      </w:pPr>
    </w:p>
    <w:p w:rsidR="00E7229A" w:rsidRPr="00FC2C06" w:rsidRDefault="00E7229A" w:rsidP="00E45ED9">
      <w:pPr>
        <w:tabs>
          <w:tab w:val="left" w:pos="9360"/>
        </w:tabs>
        <w:spacing w:after="0" w:line="240" w:lineRule="auto"/>
        <w:rPr>
          <w:rFonts w:ascii="Times New Roman" w:hAnsi="Times New Roman" w:cs="Times New Roman"/>
          <w:sz w:val="26"/>
          <w:szCs w:val="26"/>
        </w:rPr>
      </w:pPr>
      <w:r w:rsidRPr="00FC2C06">
        <w:rPr>
          <w:rFonts w:ascii="Times New Roman" w:hAnsi="Times New Roman" w:cs="Times New Roman"/>
          <w:sz w:val="26"/>
          <w:szCs w:val="26"/>
        </w:rPr>
        <w:t xml:space="preserve">            In sum, the Appointments Clause establishes a process that is a fundamental structural safeguard designed to ensure responsibility and accountability of each of the political actors. At each stage the relevant actor has complete discretion and power to perform its constitutionally assigned role and, with very narrow exceptions,</w:t>
      </w:r>
      <w:r w:rsidRPr="00FC2C06">
        <w:rPr>
          <w:rStyle w:val="FootnoteReference"/>
          <w:rFonts w:ascii="Times New Roman" w:hAnsi="Times New Roman" w:cs="Times New Roman"/>
          <w:sz w:val="26"/>
          <w:szCs w:val="26"/>
        </w:rPr>
        <w:footnoteReference w:id="70"/>
      </w:r>
      <w:r w:rsidRPr="00FC2C06">
        <w:rPr>
          <w:rFonts w:ascii="Times New Roman" w:hAnsi="Times New Roman" w:cs="Times New Roman"/>
          <w:sz w:val="26"/>
          <w:szCs w:val="26"/>
        </w:rPr>
        <w:t xml:space="preserve"> each actor may act</w:t>
      </w:r>
      <w:r>
        <w:rPr>
          <w:rFonts w:ascii="Times New Roman" w:hAnsi="Times New Roman" w:cs="Times New Roman"/>
          <w:sz w:val="26"/>
          <w:szCs w:val="26"/>
        </w:rPr>
        <w:t xml:space="preserve"> </w:t>
      </w:r>
      <w:r w:rsidRPr="00FC2C06">
        <w:rPr>
          <w:rFonts w:ascii="Times New Roman" w:hAnsi="Times New Roman" w:cs="Times New Roman"/>
          <w:sz w:val="26"/>
          <w:szCs w:val="26"/>
        </w:rPr>
        <w:t>or may take measures to protect the integrity of its role in the process.  Thus the President has withheld submitting nominations in order to</w:t>
      </w:r>
      <w:r w:rsidR="00264269">
        <w:rPr>
          <w:rFonts w:ascii="Times New Roman" w:hAnsi="Times New Roman" w:cs="Times New Roman"/>
          <w:sz w:val="26"/>
          <w:szCs w:val="26"/>
        </w:rPr>
        <w:t xml:space="preserve"> influence or</w:t>
      </w:r>
      <w:r w:rsidRPr="00FC2C06">
        <w:rPr>
          <w:rFonts w:ascii="Times New Roman" w:hAnsi="Times New Roman" w:cs="Times New Roman"/>
          <w:sz w:val="26"/>
          <w:szCs w:val="26"/>
        </w:rPr>
        <w:t xml:space="preserve"> </w:t>
      </w:r>
      <w:r w:rsidR="009D3CD6">
        <w:rPr>
          <w:rFonts w:ascii="Times New Roman" w:hAnsi="Times New Roman" w:cs="Times New Roman"/>
          <w:sz w:val="26"/>
          <w:szCs w:val="26"/>
        </w:rPr>
        <w:t>e</w:t>
      </w:r>
      <w:r w:rsidRPr="00FC2C06">
        <w:rPr>
          <w:rFonts w:ascii="Times New Roman" w:hAnsi="Times New Roman" w:cs="Times New Roman"/>
          <w:sz w:val="26"/>
          <w:szCs w:val="26"/>
        </w:rPr>
        <w:t>ffect changes in targeted programs,</w:t>
      </w:r>
      <w:r w:rsidRPr="00FC2C06">
        <w:rPr>
          <w:rStyle w:val="FootnoteReference"/>
          <w:rFonts w:ascii="Times New Roman" w:hAnsi="Times New Roman" w:cs="Times New Roman"/>
          <w:sz w:val="26"/>
          <w:szCs w:val="26"/>
        </w:rPr>
        <w:footnoteReference w:id="71"/>
      </w:r>
      <w:r w:rsidRPr="00FC2C06">
        <w:rPr>
          <w:rFonts w:ascii="Times New Roman" w:hAnsi="Times New Roman" w:cs="Times New Roman"/>
          <w:sz w:val="26"/>
          <w:szCs w:val="26"/>
        </w:rPr>
        <w:t xml:space="preserve"> and the Senate has used its constitutionally-based authority to establish rules of procedure for similar purposes.</w:t>
      </w:r>
    </w:p>
    <w:p w:rsidR="00E7229A" w:rsidRPr="00FC2C06" w:rsidRDefault="00E7229A" w:rsidP="00E45ED9">
      <w:pPr>
        <w:tabs>
          <w:tab w:val="left" w:pos="9360"/>
        </w:tabs>
        <w:spacing w:after="0" w:line="240" w:lineRule="auto"/>
        <w:rPr>
          <w:rFonts w:ascii="Times New Roman" w:hAnsi="Times New Roman" w:cs="Times New Roman"/>
          <w:sz w:val="26"/>
          <w:szCs w:val="26"/>
        </w:rPr>
      </w:pPr>
    </w:p>
    <w:p w:rsidR="00E7229A" w:rsidRPr="00FC2C06" w:rsidRDefault="00E7229A" w:rsidP="00E45ED9">
      <w:pPr>
        <w:tabs>
          <w:tab w:val="left" w:pos="9360"/>
        </w:tabs>
        <w:spacing w:after="0" w:line="240" w:lineRule="auto"/>
        <w:rPr>
          <w:rFonts w:ascii="Times New Roman" w:hAnsi="Times New Roman" w:cs="Times New Roman"/>
          <w:sz w:val="26"/>
          <w:szCs w:val="26"/>
        </w:rPr>
      </w:pPr>
    </w:p>
    <w:p w:rsidR="00E7229A" w:rsidRPr="00FC2C06" w:rsidRDefault="00E7229A" w:rsidP="000B3105">
      <w:pPr>
        <w:spacing w:after="0" w:line="240" w:lineRule="auto"/>
        <w:ind w:left="720" w:hanging="720"/>
        <w:rPr>
          <w:rFonts w:ascii="Times New Roman" w:hAnsi="Times New Roman" w:cs="Times New Roman"/>
          <w:sz w:val="26"/>
          <w:szCs w:val="26"/>
        </w:rPr>
      </w:pPr>
      <w:r w:rsidRPr="00CA12B1">
        <w:rPr>
          <w:rFonts w:ascii="Times New Roman" w:hAnsi="Times New Roman" w:cs="Times New Roman"/>
          <w:sz w:val="26"/>
          <w:szCs w:val="26"/>
        </w:rPr>
        <w:t>III.</w:t>
      </w:r>
      <w:r w:rsidRPr="00FC2C06">
        <w:rPr>
          <w:rFonts w:ascii="Times New Roman" w:hAnsi="Times New Roman" w:cs="Times New Roman"/>
          <w:sz w:val="26"/>
          <w:szCs w:val="26"/>
        </w:rPr>
        <w:t xml:space="preserve">    </w:t>
      </w:r>
      <w:r>
        <w:rPr>
          <w:rFonts w:ascii="Times New Roman" w:hAnsi="Times New Roman" w:cs="Times New Roman"/>
          <w:sz w:val="26"/>
          <w:szCs w:val="26"/>
        </w:rPr>
        <w:tab/>
      </w:r>
      <w:r w:rsidRPr="00CA12B1">
        <w:rPr>
          <w:rFonts w:ascii="Times New Roman" w:hAnsi="Times New Roman" w:cs="Times New Roman"/>
          <w:sz w:val="26"/>
          <w:szCs w:val="26"/>
          <w:u w:val="single"/>
        </w:rPr>
        <w:t xml:space="preserve">The Senate’s Rulemaking Power Allows It to Authorize Pro Forma Sessions That  </w:t>
      </w:r>
      <w:r w:rsidR="00F10AA9">
        <w:rPr>
          <w:rFonts w:ascii="Times New Roman" w:hAnsi="Times New Roman" w:cs="Times New Roman"/>
          <w:sz w:val="26"/>
          <w:szCs w:val="26"/>
          <w:u w:val="single"/>
        </w:rPr>
        <w:t xml:space="preserve">  </w:t>
      </w:r>
      <w:r w:rsidRPr="00CA12B1">
        <w:rPr>
          <w:rFonts w:ascii="Times New Roman" w:hAnsi="Times New Roman" w:cs="Times New Roman"/>
          <w:sz w:val="26"/>
          <w:szCs w:val="26"/>
          <w:u w:val="single"/>
        </w:rPr>
        <w:t>Prevent the President From Making Recess Appointments</w:t>
      </w:r>
    </w:p>
    <w:p w:rsidR="00E7229A" w:rsidRPr="00FC2C06" w:rsidRDefault="00E7229A" w:rsidP="000B3105">
      <w:pPr>
        <w:spacing w:after="0" w:line="240" w:lineRule="auto"/>
        <w:ind w:left="720" w:hanging="720"/>
        <w:rPr>
          <w:rFonts w:ascii="Times New Roman" w:hAnsi="Times New Roman" w:cs="Times New Roman"/>
          <w:sz w:val="26"/>
          <w:szCs w:val="26"/>
          <w:u w:val="single"/>
        </w:rPr>
      </w:pPr>
    </w:p>
    <w:p w:rsidR="00E7229A" w:rsidRPr="00CA12B1" w:rsidRDefault="00E7229A" w:rsidP="000B3105">
      <w:pPr>
        <w:pStyle w:val="ListParagraph"/>
        <w:numPr>
          <w:ilvl w:val="0"/>
          <w:numId w:val="14"/>
        </w:numPr>
        <w:spacing w:after="0" w:line="240" w:lineRule="auto"/>
        <w:rPr>
          <w:rFonts w:ascii="Times New Roman" w:hAnsi="Times New Roman" w:cs="Times New Roman"/>
          <w:sz w:val="26"/>
          <w:szCs w:val="26"/>
          <w:u w:val="single"/>
        </w:rPr>
      </w:pPr>
      <w:r w:rsidRPr="00CA12B1">
        <w:rPr>
          <w:rFonts w:ascii="Times New Roman" w:hAnsi="Times New Roman" w:cs="Times New Roman"/>
          <w:sz w:val="26"/>
          <w:szCs w:val="26"/>
          <w:u w:val="single"/>
        </w:rPr>
        <w:t xml:space="preserve">The Courts Have Recognized the Breadth of the </w:t>
      </w:r>
      <w:proofErr w:type="gramStart"/>
      <w:r w:rsidRPr="00CA12B1">
        <w:rPr>
          <w:rFonts w:ascii="Times New Roman" w:hAnsi="Times New Roman" w:cs="Times New Roman"/>
          <w:sz w:val="26"/>
          <w:szCs w:val="26"/>
          <w:u w:val="single"/>
        </w:rPr>
        <w:t>Senate’s  Rulemaking</w:t>
      </w:r>
      <w:proofErr w:type="gramEnd"/>
      <w:r w:rsidRPr="00CA12B1">
        <w:rPr>
          <w:rFonts w:ascii="Times New Roman" w:hAnsi="Times New Roman" w:cs="Times New Roman"/>
          <w:sz w:val="26"/>
          <w:szCs w:val="26"/>
          <w:u w:val="single"/>
        </w:rPr>
        <w:t xml:space="preserve"> Power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In authorizing pro forma sessions between December 17, 2011 and January 23, 2012, the Senate was </w:t>
      </w:r>
      <w:proofErr w:type="gramStart"/>
      <w:r>
        <w:rPr>
          <w:rFonts w:ascii="Times New Roman" w:hAnsi="Times New Roman" w:cs="Times New Roman"/>
          <w:sz w:val="26"/>
          <w:szCs w:val="26"/>
        </w:rPr>
        <w:t xml:space="preserve">exercising </w:t>
      </w:r>
      <w:r w:rsidRPr="00FC2C06">
        <w:rPr>
          <w:rFonts w:ascii="Times New Roman" w:hAnsi="Times New Roman" w:cs="Times New Roman"/>
          <w:sz w:val="26"/>
          <w:szCs w:val="26"/>
        </w:rPr>
        <w:t xml:space="preserve"> its</w:t>
      </w:r>
      <w:proofErr w:type="gramEnd"/>
      <w:r w:rsidRPr="00FC2C06">
        <w:rPr>
          <w:rFonts w:ascii="Times New Roman" w:hAnsi="Times New Roman" w:cs="Times New Roman"/>
          <w:sz w:val="26"/>
          <w:szCs w:val="26"/>
        </w:rPr>
        <w:t xml:space="preserve"> constitutionally vested rulemaking power.  The Constitution empowers “each House [to] determine the Rules of its Proceedings…”</w:t>
      </w:r>
      <w:r w:rsidRPr="00FC2C06">
        <w:rPr>
          <w:rStyle w:val="FootnoteReference"/>
          <w:rFonts w:ascii="Times New Roman" w:hAnsi="Times New Roman" w:cs="Times New Roman"/>
          <w:sz w:val="26"/>
          <w:szCs w:val="26"/>
        </w:rPr>
        <w:footnoteReference w:id="72"/>
      </w:r>
      <w:proofErr w:type="gramStart"/>
      <w:r w:rsidRPr="00FC2C06">
        <w:rPr>
          <w:rFonts w:ascii="Times New Roman" w:hAnsi="Times New Roman" w:cs="Times New Roman"/>
          <w:sz w:val="26"/>
          <w:szCs w:val="26"/>
        </w:rPr>
        <w:t xml:space="preserve">  This</w:t>
      </w:r>
      <w:proofErr w:type="gramEnd"/>
      <w:r w:rsidRPr="00FC2C06">
        <w:rPr>
          <w:rFonts w:ascii="Times New Roman" w:hAnsi="Times New Roman" w:cs="Times New Roman"/>
          <w:sz w:val="26"/>
          <w:szCs w:val="26"/>
        </w:rPr>
        <w:t xml:space="preserve"> power has been construed broadly by the courts.  The Supreme Court has held that where neither express constitutional constraints, nor fundamental rights are ignored, “[all] matters of method are open to the determination of the house…The power to make rules is </w:t>
      </w:r>
      <w:r>
        <w:rPr>
          <w:rFonts w:ascii="Times New Roman" w:hAnsi="Times New Roman" w:cs="Times New Roman"/>
          <w:sz w:val="26"/>
          <w:szCs w:val="26"/>
        </w:rPr>
        <w:t>… not one which once exercised is exhausted. It is</w:t>
      </w:r>
      <w:r w:rsidRPr="00FC2C06">
        <w:rPr>
          <w:rFonts w:ascii="Times New Roman" w:hAnsi="Times New Roman" w:cs="Times New Roman"/>
          <w:sz w:val="26"/>
          <w:szCs w:val="26"/>
        </w:rPr>
        <w:t xml:space="preserve"> a continuous power, always subject to be exercised by the house, and within the limitations suggested, </w:t>
      </w:r>
      <w:r w:rsidRPr="00FC2C06">
        <w:rPr>
          <w:rFonts w:ascii="Times New Roman" w:hAnsi="Times New Roman" w:cs="Times New Roman"/>
          <w:i/>
          <w:iCs/>
          <w:sz w:val="26"/>
          <w:szCs w:val="26"/>
        </w:rPr>
        <w:t>absolute and beyond challenge of any other body or tribunal</w:t>
      </w:r>
      <w:r w:rsidRPr="00FC2C06">
        <w:rPr>
          <w:rFonts w:ascii="Times New Roman" w:hAnsi="Times New Roman" w:cs="Times New Roman"/>
          <w:sz w:val="26"/>
          <w:szCs w:val="26"/>
        </w:rPr>
        <w:t>.”</w:t>
      </w:r>
      <w:r w:rsidRPr="00FC2C06">
        <w:rPr>
          <w:rStyle w:val="FootnoteReference"/>
          <w:rFonts w:ascii="Times New Roman" w:hAnsi="Times New Roman" w:cs="Times New Roman"/>
          <w:sz w:val="26"/>
          <w:szCs w:val="26"/>
        </w:rPr>
        <w:footnoteReference w:id="73"/>
      </w:r>
      <w:r w:rsidRPr="00FC2C06">
        <w:rPr>
          <w:rFonts w:ascii="Times New Roman" w:hAnsi="Times New Roman" w:cs="Times New Roman"/>
          <w:sz w:val="26"/>
          <w:szCs w:val="26"/>
        </w:rPr>
        <w:t xml:space="preserve">  In </w:t>
      </w:r>
      <w:r w:rsidRPr="00FC2C06">
        <w:rPr>
          <w:rFonts w:ascii="Times New Roman" w:hAnsi="Times New Roman" w:cs="Times New Roman"/>
          <w:i/>
          <w:iCs/>
          <w:sz w:val="26"/>
          <w:szCs w:val="26"/>
        </w:rPr>
        <w:t>Nixon v. United States,</w:t>
      </w:r>
      <w:r w:rsidRPr="00FC2C06">
        <w:rPr>
          <w:rStyle w:val="FootnoteReference"/>
          <w:rFonts w:ascii="Times New Roman" w:hAnsi="Times New Roman" w:cs="Times New Roman"/>
          <w:i/>
          <w:iCs/>
          <w:sz w:val="26"/>
          <w:szCs w:val="26"/>
        </w:rPr>
        <w:footnoteReference w:id="74"/>
      </w:r>
      <w:r w:rsidRPr="00FC2C06">
        <w:rPr>
          <w:rFonts w:ascii="Times New Roman" w:hAnsi="Times New Roman" w:cs="Times New Roman"/>
          <w:i/>
          <w:iCs/>
          <w:sz w:val="26"/>
          <w:szCs w:val="26"/>
        </w:rPr>
        <w:t xml:space="preserve"> </w:t>
      </w:r>
      <w:r w:rsidRPr="00FC2C06">
        <w:rPr>
          <w:rFonts w:ascii="Times New Roman" w:hAnsi="Times New Roman" w:cs="Times New Roman"/>
          <w:sz w:val="26"/>
          <w:szCs w:val="26"/>
        </w:rPr>
        <w:t xml:space="preserve">the Supreme </w:t>
      </w:r>
      <w:r w:rsidRPr="00FC2C06">
        <w:rPr>
          <w:rFonts w:ascii="Times New Roman" w:hAnsi="Times New Roman" w:cs="Times New Roman"/>
          <w:sz w:val="26"/>
          <w:szCs w:val="26"/>
        </w:rPr>
        <w:lastRenderedPageBreak/>
        <w:t xml:space="preserve">Court held a challenge to the Senate’s decision to establish </w:t>
      </w:r>
      <w:proofErr w:type="gramStart"/>
      <w:r w:rsidRPr="00FC2C06">
        <w:rPr>
          <w:rFonts w:ascii="Times New Roman" w:hAnsi="Times New Roman" w:cs="Times New Roman"/>
          <w:sz w:val="26"/>
          <w:szCs w:val="26"/>
        </w:rPr>
        <w:t>a  special</w:t>
      </w:r>
      <w:proofErr w:type="gramEnd"/>
      <w:r w:rsidRPr="00FC2C06">
        <w:rPr>
          <w:rFonts w:ascii="Times New Roman" w:hAnsi="Times New Roman" w:cs="Times New Roman"/>
          <w:sz w:val="26"/>
          <w:szCs w:val="26"/>
        </w:rPr>
        <w:t xml:space="preserve"> committee to hear impeachment evidence against Judge Nixon</w:t>
      </w:r>
      <w:r w:rsidR="00757C5B">
        <w:rPr>
          <w:rFonts w:ascii="Times New Roman" w:hAnsi="Times New Roman" w:cs="Times New Roman"/>
          <w:sz w:val="26"/>
          <w:szCs w:val="26"/>
        </w:rPr>
        <w:t>,</w:t>
      </w:r>
      <w:r w:rsidRPr="00FC2C06">
        <w:rPr>
          <w:rFonts w:ascii="Times New Roman" w:hAnsi="Times New Roman" w:cs="Times New Roman"/>
          <w:sz w:val="26"/>
          <w:szCs w:val="26"/>
        </w:rPr>
        <w:t xml:space="preserve"> and to make recommendations to the full Senate, to be nonjusticiable. The Court found that there was “a textually demonstrable constitutional commitment of the issue to [the Senate]; or a lack of judicially discoverable and manageable standards for resolving [the issue].”</w:t>
      </w:r>
      <w:r w:rsidRPr="00FC2C06">
        <w:rPr>
          <w:rStyle w:val="FootnoteReference"/>
          <w:rFonts w:ascii="Times New Roman" w:hAnsi="Times New Roman" w:cs="Times New Roman"/>
          <w:sz w:val="26"/>
          <w:szCs w:val="26"/>
        </w:rPr>
        <w:footnoteReference w:id="75"/>
      </w:r>
      <w:r w:rsidRPr="00FC2C06">
        <w:rPr>
          <w:rFonts w:ascii="Times New Roman" w:hAnsi="Times New Roman" w:cs="Times New Roman"/>
          <w:sz w:val="26"/>
          <w:szCs w:val="26"/>
        </w:rPr>
        <w:t xml:space="preserve"> Indeed, the Court </w:t>
      </w:r>
      <w:proofErr w:type="gramStart"/>
      <w:r w:rsidRPr="00FC2C06">
        <w:rPr>
          <w:rFonts w:ascii="Times New Roman" w:hAnsi="Times New Roman" w:cs="Times New Roman"/>
          <w:sz w:val="26"/>
          <w:szCs w:val="26"/>
        </w:rPr>
        <w:t>commented that</w:t>
      </w:r>
      <w:proofErr w:type="gramEnd"/>
      <w:r w:rsidRPr="00FC2C06">
        <w:rPr>
          <w:rFonts w:ascii="Times New Roman" w:hAnsi="Times New Roman" w:cs="Times New Roman"/>
          <w:sz w:val="26"/>
          <w:szCs w:val="26"/>
        </w:rPr>
        <w:t xml:space="preserve"> “the lack of judicially manageable standards may strengthen the conclusion that there is a textually demonstrable commitment to a coordinate branch.”</w:t>
      </w:r>
      <w:r w:rsidRPr="00FC2C06">
        <w:rPr>
          <w:rStyle w:val="FootnoteReference"/>
          <w:rFonts w:ascii="Times New Roman" w:hAnsi="Times New Roman" w:cs="Times New Roman"/>
          <w:sz w:val="26"/>
          <w:szCs w:val="26"/>
        </w:rPr>
        <w:footnoteReference w:id="76"/>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constitutional power of each House of Congress to establish its own rules and procedures relates to all manner of how each body will or will not take a legislative action committed to it. In </w:t>
      </w:r>
      <w:r w:rsidRPr="00FC2C06">
        <w:rPr>
          <w:rFonts w:ascii="Times New Roman" w:hAnsi="Times New Roman" w:cs="Times New Roman"/>
          <w:i/>
          <w:iCs/>
          <w:sz w:val="26"/>
          <w:szCs w:val="26"/>
        </w:rPr>
        <w:t>INS v. Chadha,</w:t>
      </w:r>
      <w:r w:rsidRPr="00FC2C06">
        <w:rPr>
          <w:rStyle w:val="FootnoteReference"/>
          <w:rFonts w:ascii="Times New Roman" w:hAnsi="Times New Roman" w:cs="Times New Roman"/>
          <w:i/>
          <w:iCs/>
          <w:sz w:val="26"/>
          <w:szCs w:val="26"/>
        </w:rPr>
        <w:footnoteReference w:id="77"/>
      </w:r>
      <w:r w:rsidRPr="00FC2C06">
        <w:rPr>
          <w:rFonts w:ascii="Times New Roman" w:hAnsi="Times New Roman" w:cs="Times New Roman"/>
          <w:i/>
          <w:iCs/>
          <w:sz w:val="26"/>
          <w:szCs w:val="26"/>
        </w:rPr>
        <w:t xml:space="preserve"> </w:t>
      </w:r>
      <w:r w:rsidRPr="00FC2C06">
        <w:rPr>
          <w:rFonts w:ascii="Times New Roman" w:hAnsi="Times New Roman" w:cs="Times New Roman"/>
          <w:sz w:val="26"/>
          <w:szCs w:val="26"/>
        </w:rPr>
        <w:t>the Supreme Court held that one or two house legislative vetoes were exercises of legislative power that affected the rights, duties and obligations of persons outside the legislative branch</w:t>
      </w:r>
      <w:r>
        <w:rPr>
          <w:rFonts w:ascii="Times New Roman" w:hAnsi="Times New Roman" w:cs="Times New Roman"/>
          <w:sz w:val="26"/>
          <w:szCs w:val="26"/>
        </w:rPr>
        <w:t xml:space="preserve">.  These legislative veto provisions </w:t>
      </w:r>
      <w:proofErr w:type="gramStart"/>
      <w:r>
        <w:rPr>
          <w:rFonts w:ascii="Times New Roman" w:hAnsi="Times New Roman" w:cs="Times New Roman"/>
          <w:sz w:val="26"/>
          <w:szCs w:val="26"/>
        </w:rPr>
        <w:t xml:space="preserve">were </w:t>
      </w:r>
      <w:r w:rsidRPr="00FC2C06">
        <w:rPr>
          <w:rFonts w:ascii="Times New Roman" w:hAnsi="Times New Roman" w:cs="Times New Roman"/>
          <w:sz w:val="26"/>
          <w:szCs w:val="26"/>
        </w:rPr>
        <w:t xml:space="preserve"> therefore</w:t>
      </w:r>
      <w:proofErr w:type="gramEnd"/>
      <w:r w:rsidRPr="00FC2C06">
        <w:rPr>
          <w:rFonts w:ascii="Times New Roman" w:hAnsi="Times New Roman" w:cs="Times New Roman"/>
          <w:sz w:val="26"/>
          <w:szCs w:val="26"/>
        </w:rPr>
        <w:t xml:space="preserve"> unconstitutional by failing to comply with the requirements of bicameral passage and presentation to the President. However, the Court specifically exempted legislative actions taken pursuant to the Rulemaking Clause.</w:t>
      </w:r>
      <w:r w:rsidRPr="00FC2C06">
        <w:rPr>
          <w:rStyle w:val="FootnoteReference"/>
          <w:rFonts w:ascii="Times New Roman" w:hAnsi="Times New Roman" w:cs="Times New Roman"/>
          <w:sz w:val="26"/>
          <w:szCs w:val="26"/>
        </w:rPr>
        <w:footnoteReference w:id="78"/>
      </w:r>
      <w:r w:rsidRPr="00FC2C06">
        <w:rPr>
          <w:rFonts w:ascii="Times New Roman" w:hAnsi="Times New Roman" w:cs="Times New Roman"/>
          <w:sz w:val="26"/>
          <w:szCs w:val="26"/>
        </w:rPr>
        <w:t xml:space="preserve"> The Court </w:t>
      </w:r>
      <w:proofErr w:type="gramStart"/>
      <w:r w:rsidRPr="00FC2C06">
        <w:rPr>
          <w:rFonts w:ascii="Times New Roman" w:hAnsi="Times New Roman" w:cs="Times New Roman"/>
          <w:sz w:val="26"/>
          <w:szCs w:val="26"/>
        </w:rPr>
        <w:t>recognized  that</w:t>
      </w:r>
      <w:proofErr w:type="gramEnd"/>
      <w:r w:rsidRPr="00FC2C06">
        <w:rPr>
          <w:rFonts w:ascii="Times New Roman" w:hAnsi="Times New Roman" w:cs="Times New Roman"/>
          <w:sz w:val="26"/>
          <w:szCs w:val="26"/>
        </w:rPr>
        <w:t xml:space="preserve">  although the exercise of the rulemaking power may have an incidental impact outside the legislative branch, as long as the predominant focus is internal to the House or Senate, it is a valid constitutional exercise of that body’s rulemaking authority. The Court </w:t>
      </w:r>
      <w:r w:rsidR="00535901">
        <w:rPr>
          <w:rFonts w:ascii="Times New Roman" w:hAnsi="Times New Roman" w:cs="Times New Roman"/>
          <w:sz w:val="26"/>
          <w:szCs w:val="26"/>
        </w:rPr>
        <w:t>also</w:t>
      </w:r>
      <w:r w:rsidR="004070C6">
        <w:rPr>
          <w:rFonts w:ascii="Times New Roman" w:hAnsi="Times New Roman" w:cs="Times New Roman"/>
          <w:sz w:val="26"/>
          <w:szCs w:val="26"/>
        </w:rPr>
        <w:t xml:space="preserve"> </w:t>
      </w:r>
      <w:r w:rsidRPr="00FC2C06">
        <w:rPr>
          <w:rFonts w:ascii="Times New Roman" w:hAnsi="Times New Roman" w:cs="Times New Roman"/>
          <w:sz w:val="26"/>
          <w:szCs w:val="26"/>
        </w:rPr>
        <w:t xml:space="preserve">took pains to note that among the </w:t>
      </w:r>
      <w:proofErr w:type="gramStart"/>
      <w:r w:rsidRPr="00FC2C06">
        <w:rPr>
          <w:rFonts w:ascii="Times New Roman" w:hAnsi="Times New Roman" w:cs="Times New Roman"/>
          <w:sz w:val="26"/>
          <w:szCs w:val="26"/>
        </w:rPr>
        <w:t>four  explicit</w:t>
      </w:r>
      <w:proofErr w:type="gramEnd"/>
      <w:r w:rsidRPr="00FC2C06">
        <w:rPr>
          <w:rFonts w:ascii="Times New Roman" w:hAnsi="Times New Roman" w:cs="Times New Roman"/>
          <w:sz w:val="26"/>
          <w:szCs w:val="26"/>
        </w:rPr>
        <w:t xml:space="preserve"> textual commitments allowing either House to act alone was the Senate’s confirmation authority, stating that: “The Senate alone was given final unreviewable power to approve or disapprove Presidential appointments.”</w:t>
      </w:r>
      <w:r w:rsidRPr="00FC2C06">
        <w:rPr>
          <w:rStyle w:val="FootnoteReference"/>
          <w:rFonts w:ascii="Times New Roman" w:hAnsi="Times New Roman" w:cs="Times New Roman"/>
          <w:sz w:val="26"/>
          <w:szCs w:val="26"/>
        </w:rPr>
        <w:footnoteReference w:id="79"/>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instances of Senate or House rules that have affected </w:t>
      </w:r>
      <w:r w:rsidR="00121AB6">
        <w:rPr>
          <w:rFonts w:ascii="Times New Roman" w:hAnsi="Times New Roman" w:cs="Times New Roman"/>
          <w:sz w:val="26"/>
          <w:szCs w:val="26"/>
        </w:rPr>
        <w:t>Executive</w:t>
      </w:r>
      <w:r w:rsidRPr="00FC2C06">
        <w:rPr>
          <w:rFonts w:ascii="Times New Roman" w:hAnsi="Times New Roman" w:cs="Times New Roman"/>
          <w:sz w:val="26"/>
          <w:szCs w:val="26"/>
        </w:rPr>
        <w:t xml:space="preserve"> actions are myriad and include committee issuance of subpoenas and the authorization of contempt citations for failure to comply with such subpoenas; fast track procedures for review and possible rejection of agency final rules and commercial treaties that require implementing legislation; and filibusters of proposed legislation and nominations, all of which are indubitably constitutional.</w:t>
      </w:r>
      <w:r w:rsidRPr="00FC2C06">
        <w:rPr>
          <w:rStyle w:val="FootnoteReference"/>
          <w:rFonts w:ascii="Times New Roman" w:hAnsi="Times New Roman" w:cs="Times New Roman"/>
          <w:sz w:val="26"/>
          <w:szCs w:val="26"/>
        </w:rPr>
        <w:footnoteReference w:id="80"/>
      </w:r>
      <w:r w:rsidRPr="00FC2C06">
        <w:rPr>
          <w:rFonts w:ascii="Times New Roman" w:hAnsi="Times New Roman" w:cs="Times New Roman"/>
          <w:sz w:val="26"/>
          <w:szCs w:val="26"/>
        </w:rPr>
        <w:t xml:space="preserve"> Senate rules that have been put in place regarding actions </w:t>
      </w:r>
      <w:r w:rsidRPr="00FC2C06">
        <w:rPr>
          <w:rFonts w:ascii="Times New Roman" w:hAnsi="Times New Roman" w:cs="Times New Roman"/>
          <w:sz w:val="26"/>
          <w:szCs w:val="26"/>
        </w:rPr>
        <w:lastRenderedPageBreak/>
        <w:t>during adjournments or recesses include designating an officer to receive messages from the Executive</w:t>
      </w:r>
      <w:proofErr w:type="gramStart"/>
      <w:r w:rsidRPr="00FC2C06">
        <w:rPr>
          <w:rFonts w:ascii="Times New Roman" w:hAnsi="Times New Roman" w:cs="Times New Roman"/>
          <w:sz w:val="26"/>
          <w:szCs w:val="26"/>
        </w:rPr>
        <w:t>;  the</w:t>
      </w:r>
      <w:proofErr w:type="gramEnd"/>
      <w:r w:rsidRPr="00FC2C06">
        <w:rPr>
          <w:rFonts w:ascii="Times New Roman" w:hAnsi="Times New Roman" w:cs="Times New Roman"/>
          <w:sz w:val="26"/>
          <w:szCs w:val="26"/>
        </w:rPr>
        <w:t xml:space="preserve"> authorization of standing committees to continue hearings, committee authority to conduct investigations and to issue subpoenas;</w:t>
      </w:r>
      <w:r w:rsidRPr="00FC2C06">
        <w:rPr>
          <w:rStyle w:val="FootnoteReference"/>
          <w:rFonts w:ascii="Times New Roman" w:hAnsi="Times New Roman" w:cs="Times New Roman"/>
          <w:sz w:val="26"/>
          <w:szCs w:val="26"/>
        </w:rPr>
        <w:footnoteReference w:id="81"/>
      </w:r>
      <w:r w:rsidRPr="00FC2C06">
        <w:rPr>
          <w:rFonts w:ascii="Times New Roman" w:hAnsi="Times New Roman" w:cs="Times New Roman"/>
          <w:sz w:val="26"/>
          <w:szCs w:val="26"/>
        </w:rPr>
        <w:t xml:space="preserve">and to receive and conduct hearings on nominations submitted by newly elected </w:t>
      </w:r>
      <w:r w:rsidR="00121AB6">
        <w:rPr>
          <w:rFonts w:ascii="Times New Roman" w:hAnsi="Times New Roman" w:cs="Times New Roman"/>
          <w:sz w:val="26"/>
          <w:szCs w:val="26"/>
        </w:rPr>
        <w:t>President</w:t>
      </w:r>
      <w:r w:rsidRPr="00FC2C06">
        <w:rPr>
          <w:rFonts w:ascii="Times New Roman" w:hAnsi="Times New Roman" w:cs="Times New Roman"/>
          <w:sz w:val="26"/>
          <w:szCs w:val="26"/>
        </w:rPr>
        <w:t>s.</w:t>
      </w:r>
      <w:r w:rsidRPr="00FC2C06">
        <w:rPr>
          <w:rStyle w:val="FootnoteReference"/>
          <w:rFonts w:ascii="Times New Roman" w:hAnsi="Times New Roman" w:cs="Times New Roman"/>
          <w:sz w:val="26"/>
          <w:szCs w:val="26"/>
        </w:rPr>
        <w:footnoteReference w:id="82"/>
      </w:r>
    </w:p>
    <w:p w:rsidR="00E7229A" w:rsidRPr="00FC2C06" w:rsidRDefault="00E7229A" w:rsidP="00D067DB">
      <w:pPr>
        <w:spacing w:after="0" w:line="240" w:lineRule="auto"/>
        <w:rPr>
          <w:rFonts w:ascii="Times New Roman" w:hAnsi="Times New Roman" w:cs="Times New Roman"/>
          <w:sz w:val="26"/>
          <w:szCs w:val="26"/>
        </w:rPr>
      </w:pPr>
    </w:p>
    <w:p w:rsidR="000B5D72"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 Finally, it is important to underline the breadth and means of the Senate’s exercise of its rulemaking authority that is illustrated by its actions in the </w:t>
      </w:r>
      <w:r w:rsidR="00C66978">
        <w:rPr>
          <w:rFonts w:ascii="Times New Roman" w:hAnsi="Times New Roman" w:cs="Times New Roman"/>
          <w:sz w:val="26"/>
          <w:szCs w:val="26"/>
        </w:rPr>
        <w:t>December 17, 2011</w:t>
      </w:r>
      <w:r w:rsidRPr="00FC2C06">
        <w:rPr>
          <w:rFonts w:ascii="Times New Roman" w:hAnsi="Times New Roman" w:cs="Times New Roman"/>
          <w:sz w:val="26"/>
          <w:szCs w:val="26"/>
        </w:rPr>
        <w:t xml:space="preserve"> adjournment and in the previous adjournment in August 201</w:t>
      </w:r>
      <w:r w:rsidR="00C66978">
        <w:rPr>
          <w:rFonts w:ascii="Times New Roman" w:hAnsi="Times New Roman" w:cs="Times New Roman"/>
          <w:sz w:val="26"/>
          <w:szCs w:val="26"/>
        </w:rPr>
        <w:t xml:space="preserve">1.  </w:t>
      </w:r>
      <w:r w:rsidRPr="00FC2C06">
        <w:rPr>
          <w:rFonts w:ascii="Times New Roman" w:hAnsi="Times New Roman" w:cs="Times New Roman"/>
          <w:sz w:val="26"/>
          <w:szCs w:val="26"/>
        </w:rPr>
        <w:t>Both adjournment resolutions provided that no business would be conducted during the pro forma sessions. In each, however, the Senate passed urgent legislation by unanimous consent.</w:t>
      </w:r>
      <w:r w:rsidRPr="00FC2C06">
        <w:rPr>
          <w:rStyle w:val="FootnoteReference"/>
          <w:rFonts w:ascii="Times New Roman" w:hAnsi="Times New Roman" w:cs="Times New Roman"/>
          <w:sz w:val="26"/>
          <w:szCs w:val="26"/>
        </w:rPr>
        <w:footnoteReference w:id="83"/>
      </w:r>
      <w:r w:rsidRPr="00FC2C06">
        <w:rPr>
          <w:rFonts w:ascii="Times New Roman" w:hAnsi="Times New Roman" w:cs="Times New Roman"/>
          <w:sz w:val="26"/>
          <w:szCs w:val="26"/>
        </w:rPr>
        <w:t xml:space="preserve"> </w:t>
      </w:r>
    </w:p>
    <w:p w:rsidR="000B5D72" w:rsidRDefault="000B5D72" w:rsidP="00D067DB">
      <w:pPr>
        <w:spacing w:after="0" w:line="240" w:lineRule="auto"/>
        <w:rPr>
          <w:rFonts w:ascii="Times New Roman" w:hAnsi="Times New Roman" w:cs="Times New Roman"/>
          <w:sz w:val="26"/>
          <w:szCs w:val="26"/>
        </w:rPr>
      </w:pPr>
    </w:p>
    <w:p w:rsidR="00916FE7" w:rsidRDefault="000B5D72"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With respect to the nature and impact of </w:t>
      </w:r>
      <w:r w:rsidR="006A4DB5">
        <w:rPr>
          <w:rFonts w:ascii="Times New Roman" w:hAnsi="Times New Roman" w:cs="Times New Roman"/>
          <w:sz w:val="26"/>
          <w:szCs w:val="26"/>
        </w:rPr>
        <w:t>pro forma</w:t>
      </w:r>
      <w:r>
        <w:rPr>
          <w:rFonts w:ascii="Times New Roman" w:hAnsi="Times New Roman" w:cs="Times New Roman"/>
          <w:i/>
          <w:sz w:val="26"/>
          <w:szCs w:val="26"/>
        </w:rPr>
        <w:t xml:space="preserve"> </w:t>
      </w:r>
      <w:r>
        <w:rPr>
          <w:rFonts w:ascii="Times New Roman" w:hAnsi="Times New Roman" w:cs="Times New Roman"/>
          <w:sz w:val="26"/>
          <w:szCs w:val="26"/>
        </w:rPr>
        <w:t>sessions in particular, a recent Congressional Research Service study is illuminating.</w:t>
      </w:r>
      <w:r>
        <w:rPr>
          <w:rStyle w:val="FootnoteReference"/>
          <w:rFonts w:ascii="Times New Roman" w:hAnsi="Times New Roman" w:cs="Times New Roman"/>
          <w:sz w:val="26"/>
          <w:szCs w:val="26"/>
        </w:rPr>
        <w:footnoteReference w:id="84"/>
      </w:r>
      <w:r>
        <w:rPr>
          <w:rFonts w:ascii="Times New Roman" w:hAnsi="Times New Roman" w:cs="Times New Roman"/>
          <w:sz w:val="26"/>
          <w:szCs w:val="26"/>
        </w:rPr>
        <w:t xml:space="preserve"> </w:t>
      </w:r>
      <w:r w:rsidR="0074195F">
        <w:rPr>
          <w:rFonts w:ascii="Times New Roman" w:hAnsi="Times New Roman" w:cs="Times New Roman"/>
          <w:sz w:val="26"/>
          <w:szCs w:val="26"/>
        </w:rPr>
        <w:t>CRS emphasizes that “[</w:t>
      </w:r>
      <w:proofErr w:type="gramStart"/>
      <w:r w:rsidR="0074195F">
        <w:rPr>
          <w:rFonts w:ascii="Times New Roman" w:hAnsi="Times New Roman" w:cs="Times New Roman"/>
          <w:sz w:val="26"/>
          <w:szCs w:val="26"/>
        </w:rPr>
        <w:t>i</w:t>
      </w:r>
      <w:r w:rsidR="00C32144">
        <w:rPr>
          <w:rFonts w:ascii="Times New Roman" w:hAnsi="Times New Roman" w:cs="Times New Roman"/>
          <w:sz w:val="26"/>
          <w:szCs w:val="26"/>
        </w:rPr>
        <w:t>]t</w:t>
      </w:r>
      <w:proofErr w:type="gramEnd"/>
      <w:r w:rsidR="00C32144">
        <w:rPr>
          <w:rFonts w:ascii="Times New Roman" w:hAnsi="Times New Roman" w:cs="Times New Roman"/>
          <w:sz w:val="26"/>
          <w:szCs w:val="26"/>
        </w:rPr>
        <w:t xml:space="preserve"> is important to note that the term pro forma describes </w:t>
      </w:r>
      <w:r w:rsidR="00C32144">
        <w:rPr>
          <w:rFonts w:ascii="Times New Roman" w:hAnsi="Times New Roman" w:cs="Times New Roman"/>
          <w:i/>
          <w:sz w:val="26"/>
          <w:szCs w:val="26"/>
        </w:rPr>
        <w:t xml:space="preserve">the reason </w:t>
      </w:r>
      <w:r w:rsidR="00C32144">
        <w:rPr>
          <w:rFonts w:ascii="Times New Roman" w:hAnsi="Times New Roman" w:cs="Times New Roman"/>
          <w:sz w:val="26"/>
          <w:szCs w:val="26"/>
        </w:rPr>
        <w:t>for holding the ses</w:t>
      </w:r>
      <w:r w:rsidR="00C87E01">
        <w:rPr>
          <w:rFonts w:ascii="Times New Roman" w:hAnsi="Times New Roman" w:cs="Times New Roman"/>
          <w:sz w:val="26"/>
          <w:szCs w:val="26"/>
        </w:rPr>
        <w:t>s</w:t>
      </w:r>
      <w:r w:rsidR="00C32144">
        <w:rPr>
          <w:rFonts w:ascii="Times New Roman" w:hAnsi="Times New Roman" w:cs="Times New Roman"/>
          <w:sz w:val="26"/>
          <w:szCs w:val="26"/>
        </w:rPr>
        <w:t>io</w:t>
      </w:r>
      <w:r w:rsidR="00C87E01">
        <w:rPr>
          <w:rFonts w:ascii="Times New Roman" w:hAnsi="Times New Roman" w:cs="Times New Roman"/>
          <w:sz w:val="26"/>
          <w:szCs w:val="26"/>
        </w:rPr>
        <w:t xml:space="preserve">n, it does not distinguish </w:t>
      </w:r>
      <w:r w:rsidR="00C87E01">
        <w:rPr>
          <w:rFonts w:ascii="Times New Roman" w:hAnsi="Times New Roman" w:cs="Times New Roman"/>
          <w:i/>
          <w:sz w:val="26"/>
          <w:szCs w:val="26"/>
        </w:rPr>
        <w:t>the nature of the session itself…</w:t>
      </w:r>
      <w:r w:rsidR="00C87E01">
        <w:rPr>
          <w:rFonts w:ascii="Times New Roman" w:hAnsi="Times New Roman" w:cs="Times New Roman"/>
          <w:sz w:val="26"/>
          <w:szCs w:val="26"/>
        </w:rPr>
        <w:t xml:space="preserve">.While the primary purpose of a pro forma session of the Senate may be to comply with the constitutional strictures on adjournment , a pro forma session </w:t>
      </w:r>
      <w:r w:rsidR="00C87E01">
        <w:rPr>
          <w:rFonts w:ascii="Times New Roman" w:hAnsi="Times New Roman" w:cs="Times New Roman"/>
          <w:i/>
          <w:sz w:val="26"/>
          <w:szCs w:val="26"/>
        </w:rPr>
        <w:t xml:space="preserve">is not materially different from other Senate sessions. </w:t>
      </w:r>
      <w:r w:rsidR="00C87E01">
        <w:rPr>
          <w:rFonts w:ascii="Times New Roman" w:hAnsi="Times New Roman" w:cs="Times New Roman"/>
          <w:sz w:val="26"/>
          <w:szCs w:val="26"/>
        </w:rPr>
        <w:t xml:space="preserve">While, as noted above, the Senate has customarily agreed not to conduct business during pro forma sessions, no rule or </w:t>
      </w:r>
      <w:r w:rsidR="004C4261">
        <w:rPr>
          <w:rFonts w:ascii="Times New Roman" w:hAnsi="Times New Roman" w:cs="Times New Roman"/>
          <w:sz w:val="26"/>
          <w:szCs w:val="26"/>
        </w:rPr>
        <w:t>constitutional provision imposes this restriction. Should the Senate choose to conduct legislative or executive business at a pro forma session, it could, providing it could assemble the necessary quorum or gain the consent of all Senators to act.”</w:t>
      </w:r>
      <w:r w:rsidR="004C4261">
        <w:rPr>
          <w:rStyle w:val="FootnoteReference"/>
          <w:rFonts w:ascii="Times New Roman" w:hAnsi="Times New Roman" w:cs="Times New Roman"/>
          <w:sz w:val="26"/>
          <w:szCs w:val="26"/>
        </w:rPr>
        <w:footnoteReference w:id="85"/>
      </w:r>
      <w:r w:rsidR="004C4261">
        <w:rPr>
          <w:rFonts w:ascii="Times New Roman" w:hAnsi="Times New Roman" w:cs="Times New Roman"/>
          <w:sz w:val="26"/>
          <w:szCs w:val="26"/>
        </w:rPr>
        <w:t xml:space="preserve"> To illustrate the variety of purposes</w:t>
      </w:r>
      <w:r w:rsidR="005A61B9">
        <w:rPr>
          <w:rFonts w:ascii="Times New Roman" w:hAnsi="Times New Roman" w:cs="Times New Roman"/>
          <w:sz w:val="26"/>
          <w:szCs w:val="26"/>
        </w:rPr>
        <w:t xml:space="preserve"> the Senate has sought to achieve, apart from complying with constitutional adjournment requirements, the CRS study note</w:t>
      </w:r>
      <w:r w:rsidR="00223B21">
        <w:rPr>
          <w:rFonts w:ascii="Times New Roman" w:hAnsi="Times New Roman" w:cs="Times New Roman"/>
          <w:sz w:val="26"/>
          <w:szCs w:val="26"/>
        </w:rPr>
        <w:t>s</w:t>
      </w:r>
      <w:r w:rsidR="005A61B9">
        <w:rPr>
          <w:rFonts w:ascii="Times New Roman" w:hAnsi="Times New Roman" w:cs="Times New Roman"/>
          <w:sz w:val="26"/>
          <w:szCs w:val="26"/>
        </w:rPr>
        <w:t xml:space="preserve"> the two instances referenced abo</w:t>
      </w:r>
      <w:r w:rsidR="00916FE7">
        <w:rPr>
          <w:rFonts w:ascii="Times New Roman" w:hAnsi="Times New Roman" w:cs="Times New Roman"/>
          <w:sz w:val="26"/>
          <w:szCs w:val="26"/>
        </w:rPr>
        <w:t>v</w:t>
      </w:r>
      <w:r w:rsidR="005A61B9">
        <w:rPr>
          <w:rFonts w:ascii="Times New Roman" w:hAnsi="Times New Roman" w:cs="Times New Roman"/>
          <w:sz w:val="26"/>
          <w:szCs w:val="26"/>
        </w:rPr>
        <w:t>e during which important substantive legislation was</w:t>
      </w:r>
      <w:r w:rsidR="00810DD8">
        <w:rPr>
          <w:rFonts w:ascii="Times New Roman" w:hAnsi="Times New Roman" w:cs="Times New Roman"/>
          <w:sz w:val="26"/>
          <w:szCs w:val="26"/>
        </w:rPr>
        <w:t xml:space="preserve"> </w:t>
      </w:r>
      <w:r w:rsidR="005A61B9">
        <w:rPr>
          <w:rFonts w:ascii="Times New Roman" w:hAnsi="Times New Roman" w:cs="Times New Roman"/>
          <w:sz w:val="26"/>
          <w:szCs w:val="26"/>
        </w:rPr>
        <w:t xml:space="preserve">passed, and identified </w:t>
      </w:r>
      <w:r w:rsidR="00810DD8">
        <w:rPr>
          <w:rFonts w:ascii="Times New Roman" w:hAnsi="Times New Roman" w:cs="Times New Roman"/>
          <w:sz w:val="26"/>
          <w:szCs w:val="26"/>
        </w:rPr>
        <w:t>three periods of pro forma sessions that allowed the Senate to avoid</w:t>
      </w:r>
      <w:r w:rsidR="00C87E01">
        <w:rPr>
          <w:rFonts w:ascii="Times New Roman" w:hAnsi="Times New Roman" w:cs="Times New Roman"/>
          <w:sz w:val="26"/>
          <w:szCs w:val="26"/>
        </w:rPr>
        <w:t xml:space="preserve"> </w:t>
      </w:r>
      <w:r w:rsidR="00810DD8">
        <w:rPr>
          <w:rFonts w:ascii="Times New Roman" w:hAnsi="Times New Roman" w:cs="Times New Roman"/>
          <w:sz w:val="26"/>
          <w:szCs w:val="26"/>
        </w:rPr>
        <w:t xml:space="preserve">returning nominations to the President, and six pro forma days that satisfied the constitutional or statutory requirement that the Senate </w:t>
      </w:r>
      <w:proofErr w:type="gramStart"/>
      <w:r w:rsidR="00810DD8">
        <w:rPr>
          <w:rFonts w:ascii="Times New Roman" w:hAnsi="Times New Roman" w:cs="Times New Roman"/>
          <w:sz w:val="26"/>
          <w:szCs w:val="26"/>
        </w:rPr>
        <w:t>convene  a</w:t>
      </w:r>
      <w:proofErr w:type="gramEnd"/>
      <w:r w:rsidR="00810DD8">
        <w:rPr>
          <w:rFonts w:ascii="Times New Roman" w:hAnsi="Times New Roman" w:cs="Times New Roman"/>
          <w:sz w:val="26"/>
          <w:szCs w:val="26"/>
        </w:rPr>
        <w:t xml:space="preserve"> new session. It also catalogs the numerous statutory provisions</w:t>
      </w:r>
      <w:r w:rsidR="00536D10">
        <w:rPr>
          <w:rFonts w:ascii="Times New Roman" w:hAnsi="Times New Roman" w:cs="Times New Roman"/>
          <w:sz w:val="26"/>
          <w:szCs w:val="26"/>
        </w:rPr>
        <w:t xml:space="preserve"> </w:t>
      </w:r>
      <w:r w:rsidR="00810DD8">
        <w:rPr>
          <w:rFonts w:ascii="Times New Roman" w:hAnsi="Times New Roman" w:cs="Times New Roman"/>
          <w:sz w:val="26"/>
          <w:szCs w:val="26"/>
        </w:rPr>
        <w:t>that require computing periods of congressional sessions for purposes of determining whether a particular action or authority has be</w:t>
      </w:r>
      <w:r w:rsidR="00CD5FF1">
        <w:rPr>
          <w:rFonts w:ascii="Times New Roman" w:hAnsi="Times New Roman" w:cs="Times New Roman"/>
          <w:sz w:val="26"/>
          <w:szCs w:val="26"/>
        </w:rPr>
        <w:t>co</w:t>
      </w:r>
      <w:r w:rsidR="00810DD8">
        <w:rPr>
          <w:rFonts w:ascii="Times New Roman" w:hAnsi="Times New Roman" w:cs="Times New Roman"/>
          <w:sz w:val="26"/>
          <w:szCs w:val="26"/>
        </w:rPr>
        <w:t>me e</w:t>
      </w:r>
      <w:r w:rsidR="00CD5FF1">
        <w:rPr>
          <w:rFonts w:ascii="Times New Roman" w:hAnsi="Times New Roman" w:cs="Times New Roman"/>
          <w:sz w:val="26"/>
          <w:szCs w:val="26"/>
        </w:rPr>
        <w:t>ff</w:t>
      </w:r>
      <w:r w:rsidR="00810DD8">
        <w:rPr>
          <w:rFonts w:ascii="Times New Roman" w:hAnsi="Times New Roman" w:cs="Times New Roman"/>
          <w:sz w:val="26"/>
          <w:szCs w:val="26"/>
        </w:rPr>
        <w:t>ective</w:t>
      </w:r>
      <w:r w:rsidR="00CD5FF1">
        <w:rPr>
          <w:rFonts w:ascii="Times New Roman" w:hAnsi="Times New Roman" w:cs="Times New Roman"/>
          <w:sz w:val="26"/>
          <w:szCs w:val="26"/>
        </w:rPr>
        <w:t xml:space="preserve">. For example, under the Congressional Review Act, certain agency rules do not become </w:t>
      </w:r>
      <w:proofErr w:type="gramStart"/>
      <w:r w:rsidR="00CD5FF1">
        <w:rPr>
          <w:rFonts w:ascii="Times New Roman" w:hAnsi="Times New Roman" w:cs="Times New Roman"/>
          <w:sz w:val="26"/>
          <w:szCs w:val="26"/>
        </w:rPr>
        <w:t>effective</w:t>
      </w:r>
      <w:r w:rsidR="00810DD8">
        <w:rPr>
          <w:rFonts w:ascii="Times New Roman" w:hAnsi="Times New Roman" w:cs="Times New Roman"/>
          <w:sz w:val="26"/>
          <w:szCs w:val="26"/>
        </w:rPr>
        <w:t xml:space="preserve"> </w:t>
      </w:r>
      <w:r w:rsidR="00CD5FF1">
        <w:rPr>
          <w:rFonts w:ascii="Times New Roman" w:hAnsi="Times New Roman" w:cs="Times New Roman"/>
          <w:sz w:val="26"/>
          <w:szCs w:val="26"/>
        </w:rPr>
        <w:t xml:space="preserve"> until</w:t>
      </w:r>
      <w:proofErr w:type="gramEnd"/>
      <w:r w:rsidR="00CD5FF1">
        <w:rPr>
          <w:rFonts w:ascii="Times New Roman" w:hAnsi="Times New Roman" w:cs="Times New Roman"/>
          <w:sz w:val="26"/>
          <w:szCs w:val="26"/>
        </w:rPr>
        <w:t xml:space="preserve"> the Senate has had</w:t>
      </w:r>
      <w:r w:rsidR="00C32144">
        <w:rPr>
          <w:rFonts w:ascii="Times New Roman" w:hAnsi="Times New Roman" w:cs="Times New Roman"/>
          <w:sz w:val="26"/>
          <w:szCs w:val="26"/>
        </w:rPr>
        <w:t xml:space="preserve"> </w:t>
      </w:r>
      <w:r w:rsidR="00CD5FF1">
        <w:rPr>
          <w:rFonts w:ascii="Times New Roman" w:hAnsi="Times New Roman" w:cs="Times New Roman"/>
          <w:sz w:val="26"/>
          <w:szCs w:val="26"/>
        </w:rPr>
        <w:t xml:space="preserve">60 days of “session” to act on a joint resolution of disapproval of a reported final rule. For these </w:t>
      </w:r>
      <w:r w:rsidR="00CD5FF1">
        <w:rPr>
          <w:rFonts w:ascii="Times New Roman" w:hAnsi="Times New Roman" w:cs="Times New Roman"/>
          <w:sz w:val="26"/>
          <w:szCs w:val="26"/>
        </w:rPr>
        <w:lastRenderedPageBreak/>
        <w:t xml:space="preserve">purposes, “days of pro forma session” are counted, a practice </w:t>
      </w:r>
      <w:r w:rsidR="00223B21">
        <w:rPr>
          <w:rFonts w:ascii="Times New Roman" w:hAnsi="Times New Roman" w:cs="Times New Roman"/>
          <w:sz w:val="26"/>
          <w:szCs w:val="26"/>
        </w:rPr>
        <w:t xml:space="preserve">that has </w:t>
      </w:r>
      <w:r w:rsidR="00CD5FF1">
        <w:rPr>
          <w:rFonts w:ascii="Times New Roman" w:hAnsi="Times New Roman" w:cs="Times New Roman"/>
          <w:sz w:val="26"/>
          <w:szCs w:val="26"/>
        </w:rPr>
        <w:t>accepted by both the legislative and executive branches.</w:t>
      </w:r>
      <w:r w:rsidR="00C32144">
        <w:rPr>
          <w:rFonts w:ascii="Times New Roman" w:hAnsi="Times New Roman" w:cs="Times New Roman"/>
          <w:sz w:val="26"/>
          <w:szCs w:val="26"/>
        </w:rPr>
        <w:t xml:space="preserve"> </w:t>
      </w:r>
    </w:p>
    <w:p w:rsidR="00916FE7" w:rsidRDefault="00916FE7" w:rsidP="00D067DB">
      <w:pPr>
        <w:spacing w:after="0" w:line="240" w:lineRule="auto"/>
        <w:rPr>
          <w:rFonts w:ascii="Times New Roman" w:hAnsi="Times New Roman" w:cs="Times New Roman"/>
          <w:sz w:val="26"/>
          <w:szCs w:val="26"/>
        </w:rPr>
      </w:pPr>
    </w:p>
    <w:p w:rsidR="00E7229A" w:rsidRPr="00FC2C06" w:rsidRDefault="00916FE7"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The CRS study also sheds further light on the critical question of when the Senate is in recess for the constitutional purpose of recess appointments. </w:t>
      </w:r>
      <w:r w:rsidR="006A4DB5">
        <w:rPr>
          <w:rFonts w:ascii="Times New Roman" w:hAnsi="Times New Roman" w:cs="Times New Roman"/>
          <w:sz w:val="26"/>
          <w:szCs w:val="26"/>
        </w:rPr>
        <w:t xml:space="preserve">The consistent practice reflected in the Senate’s use pro forma </w:t>
      </w:r>
      <w:proofErr w:type="gramStart"/>
      <w:r w:rsidR="006A4DB5">
        <w:rPr>
          <w:rFonts w:ascii="Times New Roman" w:hAnsi="Times New Roman" w:cs="Times New Roman"/>
          <w:sz w:val="26"/>
          <w:szCs w:val="26"/>
        </w:rPr>
        <w:t>sessions supports</w:t>
      </w:r>
      <w:proofErr w:type="gramEnd"/>
      <w:r w:rsidR="006A4DB5">
        <w:rPr>
          <w:rFonts w:ascii="Times New Roman" w:hAnsi="Times New Roman" w:cs="Times New Roman"/>
          <w:sz w:val="26"/>
          <w:szCs w:val="26"/>
        </w:rPr>
        <w:t xml:space="preserve"> the understanding, that dates back to the adoption of the Constitution, that </w:t>
      </w:r>
      <w:r w:rsidR="00DE616B">
        <w:rPr>
          <w:rFonts w:ascii="Times New Roman" w:hAnsi="Times New Roman" w:cs="Times New Roman"/>
          <w:sz w:val="26"/>
          <w:szCs w:val="26"/>
        </w:rPr>
        <w:t xml:space="preserve">the </w:t>
      </w:r>
      <w:r w:rsidR="006A4DB5">
        <w:rPr>
          <w:rFonts w:ascii="Times New Roman" w:hAnsi="Times New Roman" w:cs="Times New Roman"/>
          <w:sz w:val="26"/>
          <w:szCs w:val="26"/>
        </w:rPr>
        <w:t>terms “session</w:t>
      </w:r>
      <w:r w:rsidR="00223B21">
        <w:rPr>
          <w:rFonts w:ascii="Times New Roman" w:hAnsi="Times New Roman" w:cs="Times New Roman"/>
          <w:sz w:val="26"/>
          <w:szCs w:val="26"/>
        </w:rPr>
        <w:t>”</w:t>
      </w:r>
      <w:r w:rsidR="006A4DB5">
        <w:rPr>
          <w:rFonts w:ascii="Times New Roman" w:hAnsi="Times New Roman" w:cs="Times New Roman"/>
          <w:sz w:val="26"/>
          <w:szCs w:val="26"/>
        </w:rPr>
        <w:t xml:space="preserve"> and “recess” are reciprocal and exclusive. That is,</w:t>
      </w:r>
      <w:r w:rsidR="007072FD">
        <w:rPr>
          <w:rFonts w:ascii="Times New Roman" w:hAnsi="Times New Roman" w:cs="Times New Roman"/>
          <w:sz w:val="26"/>
          <w:szCs w:val="26"/>
        </w:rPr>
        <w:t xml:space="preserve"> although the Senate does not expect to conduct business in such sessions, it retains the ability (and the authority) to do so whenever it should be necessary to do so. </w:t>
      </w:r>
      <w:r w:rsidR="00F50B27">
        <w:rPr>
          <w:rFonts w:ascii="Times New Roman" w:hAnsi="Times New Roman" w:cs="Times New Roman"/>
          <w:sz w:val="26"/>
          <w:szCs w:val="26"/>
        </w:rPr>
        <w:t xml:space="preserve">Thus </w:t>
      </w:r>
      <w:r w:rsidR="00DE616B">
        <w:rPr>
          <w:rFonts w:ascii="Times New Roman" w:hAnsi="Times New Roman" w:cs="Times New Roman"/>
          <w:sz w:val="26"/>
          <w:szCs w:val="26"/>
        </w:rPr>
        <w:t>during sessions declared to be pro forma</w:t>
      </w:r>
      <w:r w:rsidR="008F06B0">
        <w:rPr>
          <w:rFonts w:ascii="Times New Roman" w:hAnsi="Times New Roman" w:cs="Times New Roman"/>
          <w:sz w:val="26"/>
          <w:szCs w:val="26"/>
        </w:rPr>
        <w:t xml:space="preserve"> </w:t>
      </w:r>
      <w:r w:rsidR="00F50B27">
        <w:rPr>
          <w:rFonts w:ascii="Times New Roman" w:hAnsi="Times New Roman" w:cs="Times New Roman"/>
          <w:sz w:val="26"/>
          <w:szCs w:val="26"/>
        </w:rPr>
        <w:t xml:space="preserve">there can be no recess appointments. </w:t>
      </w:r>
      <w:r w:rsidR="009A3848">
        <w:rPr>
          <w:rFonts w:ascii="Times New Roman" w:hAnsi="Times New Roman" w:cs="Times New Roman"/>
          <w:sz w:val="26"/>
          <w:szCs w:val="26"/>
        </w:rPr>
        <w:t>The Senate is in session whenever it is available to do business. It is unavailable</w:t>
      </w:r>
      <w:r w:rsidR="008F06B0">
        <w:rPr>
          <w:rFonts w:ascii="Times New Roman" w:hAnsi="Times New Roman" w:cs="Times New Roman"/>
          <w:sz w:val="26"/>
          <w:szCs w:val="26"/>
        </w:rPr>
        <w:t>, thereby allowing recess appointments</w:t>
      </w:r>
      <w:proofErr w:type="gramStart"/>
      <w:r w:rsidR="008F06B0">
        <w:rPr>
          <w:rFonts w:ascii="Times New Roman" w:hAnsi="Times New Roman" w:cs="Times New Roman"/>
          <w:sz w:val="26"/>
          <w:szCs w:val="26"/>
        </w:rPr>
        <w:t xml:space="preserve">, </w:t>
      </w:r>
      <w:r w:rsidR="009A3848">
        <w:rPr>
          <w:rFonts w:ascii="Times New Roman" w:hAnsi="Times New Roman" w:cs="Times New Roman"/>
          <w:sz w:val="26"/>
          <w:szCs w:val="26"/>
        </w:rPr>
        <w:t xml:space="preserve"> when</w:t>
      </w:r>
      <w:proofErr w:type="gramEnd"/>
      <w:r w:rsidR="009A3848">
        <w:rPr>
          <w:rFonts w:ascii="Times New Roman" w:hAnsi="Times New Roman" w:cs="Times New Roman"/>
          <w:sz w:val="26"/>
          <w:szCs w:val="26"/>
        </w:rPr>
        <w:t xml:space="preserve"> it clearly declares itself to be so</w:t>
      </w:r>
      <w:r w:rsidR="008F06B0">
        <w:rPr>
          <w:rFonts w:ascii="Times New Roman" w:hAnsi="Times New Roman" w:cs="Times New Roman"/>
          <w:sz w:val="26"/>
          <w:szCs w:val="26"/>
        </w:rPr>
        <w:t>,</w:t>
      </w:r>
      <w:r w:rsidR="009A3848">
        <w:rPr>
          <w:rFonts w:ascii="Times New Roman" w:hAnsi="Times New Roman" w:cs="Times New Roman"/>
          <w:sz w:val="26"/>
          <w:szCs w:val="26"/>
        </w:rPr>
        <w:t xml:space="preserve"> as when it joins in a concurrent resolution pursuant to Article I, section 5, cl. 4.</w:t>
      </w:r>
      <w:r w:rsidR="00F50B27">
        <w:rPr>
          <w:rFonts w:ascii="Times New Roman" w:hAnsi="Times New Roman" w:cs="Times New Roman"/>
          <w:sz w:val="26"/>
          <w:szCs w:val="26"/>
        </w:rPr>
        <w:t xml:space="preserve"> </w:t>
      </w:r>
      <w:r w:rsidR="008F06B0">
        <w:rPr>
          <w:rFonts w:ascii="Times New Roman" w:hAnsi="Times New Roman" w:cs="Times New Roman"/>
          <w:sz w:val="26"/>
          <w:szCs w:val="26"/>
        </w:rPr>
        <w:t>Either</w:t>
      </w:r>
      <w:r w:rsidR="00F50B27">
        <w:rPr>
          <w:rFonts w:ascii="Times New Roman" w:hAnsi="Times New Roman" w:cs="Times New Roman"/>
          <w:sz w:val="26"/>
          <w:szCs w:val="26"/>
        </w:rPr>
        <w:t xml:space="preserve"> determination</w:t>
      </w:r>
      <w:r w:rsidR="00AD1E1A">
        <w:rPr>
          <w:rFonts w:ascii="Times New Roman" w:hAnsi="Times New Roman" w:cs="Times New Roman"/>
          <w:sz w:val="26"/>
          <w:szCs w:val="26"/>
        </w:rPr>
        <w:t xml:space="preserve">, made pursuant to its exercise of its </w:t>
      </w:r>
      <w:proofErr w:type="gramStart"/>
      <w:r w:rsidR="00AD1E1A">
        <w:rPr>
          <w:rFonts w:ascii="Times New Roman" w:hAnsi="Times New Roman" w:cs="Times New Roman"/>
          <w:sz w:val="26"/>
          <w:szCs w:val="26"/>
        </w:rPr>
        <w:t>constitutionally-based</w:t>
      </w:r>
      <w:proofErr w:type="gramEnd"/>
      <w:r w:rsidR="00AD1E1A">
        <w:rPr>
          <w:rFonts w:ascii="Times New Roman" w:hAnsi="Times New Roman" w:cs="Times New Roman"/>
          <w:sz w:val="26"/>
          <w:szCs w:val="26"/>
        </w:rPr>
        <w:t xml:space="preserve"> and unreviewable rulemaking power, </w:t>
      </w:r>
      <w:r w:rsidR="00F50B27">
        <w:rPr>
          <w:rFonts w:ascii="Times New Roman" w:hAnsi="Times New Roman" w:cs="Times New Roman"/>
          <w:sz w:val="26"/>
          <w:szCs w:val="26"/>
        </w:rPr>
        <w:t>is the Senate’s alone; there is no presidential role in th</w:t>
      </w:r>
      <w:r w:rsidR="00AD1E1A">
        <w:rPr>
          <w:rFonts w:ascii="Times New Roman" w:hAnsi="Times New Roman" w:cs="Times New Roman"/>
          <w:sz w:val="26"/>
          <w:szCs w:val="26"/>
        </w:rPr>
        <w:t>at</w:t>
      </w:r>
      <w:r w:rsidR="00F50B27">
        <w:rPr>
          <w:rFonts w:ascii="Times New Roman" w:hAnsi="Times New Roman" w:cs="Times New Roman"/>
          <w:sz w:val="26"/>
          <w:szCs w:val="26"/>
        </w:rPr>
        <w:t xml:space="preserve"> constitutional determination.</w:t>
      </w:r>
      <w:r w:rsidR="00F50B27">
        <w:rPr>
          <w:rStyle w:val="FootnoteReference"/>
          <w:rFonts w:ascii="Times New Roman" w:hAnsi="Times New Roman" w:cs="Times New Roman"/>
          <w:sz w:val="26"/>
          <w:szCs w:val="26"/>
        </w:rPr>
        <w:footnoteReference w:id="86"/>
      </w:r>
      <w:r w:rsidR="00BD0109">
        <w:rPr>
          <w:rFonts w:ascii="Times New Roman" w:hAnsi="Times New Roman" w:cs="Times New Roman"/>
          <w:sz w:val="26"/>
          <w:szCs w:val="26"/>
        </w:rPr>
        <w:t xml:space="preserve"> This understanding of the reciprocal and exclusive nature of the constitutional concepts of the terms “session” and “recess” is reflected in the </w:t>
      </w:r>
      <w:r w:rsidR="009E0E11">
        <w:rPr>
          <w:rFonts w:ascii="Times New Roman" w:hAnsi="Times New Roman" w:cs="Times New Roman"/>
          <w:sz w:val="26"/>
          <w:szCs w:val="26"/>
        </w:rPr>
        <w:t>R</w:t>
      </w:r>
      <w:r w:rsidR="00BD0109">
        <w:rPr>
          <w:rFonts w:ascii="Times New Roman" w:hAnsi="Times New Roman" w:cs="Times New Roman"/>
          <w:sz w:val="26"/>
          <w:szCs w:val="26"/>
        </w:rPr>
        <w:t>ecess Clause itself,</w:t>
      </w:r>
      <w:r w:rsidR="00BD0109">
        <w:rPr>
          <w:rStyle w:val="FootnoteReference"/>
          <w:rFonts w:ascii="Times New Roman" w:hAnsi="Times New Roman" w:cs="Times New Roman"/>
          <w:sz w:val="26"/>
          <w:szCs w:val="26"/>
        </w:rPr>
        <w:footnoteReference w:id="87"/>
      </w:r>
      <w:r w:rsidR="00BD0109">
        <w:rPr>
          <w:rFonts w:ascii="Times New Roman" w:hAnsi="Times New Roman" w:cs="Times New Roman"/>
          <w:sz w:val="26"/>
          <w:szCs w:val="26"/>
        </w:rPr>
        <w:t xml:space="preserve"> </w:t>
      </w:r>
      <w:r w:rsidR="0063446C">
        <w:rPr>
          <w:rFonts w:ascii="Times New Roman" w:hAnsi="Times New Roman" w:cs="Times New Roman"/>
          <w:sz w:val="26"/>
          <w:szCs w:val="26"/>
        </w:rPr>
        <w:t xml:space="preserve">and recognized by </w:t>
      </w:r>
      <w:r w:rsidR="00EB751F">
        <w:rPr>
          <w:rFonts w:ascii="Times New Roman" w:hAnsi="Times New Roman" w:cs="Times New Roman"/>
          <w:sz w:val="26"/>
          <w:szCs w:val="26"/>
        </w:rPr>
        <w:t>Alexander Hamilton in Federalist No. 67, Justice Story in his Commentaries on the Constitution, Attorney General Wirt</w:t>
      </w:r>
      <w:r w:rsidR="000D4B1E">
        <w:rPr>
          <w:rFonts w:ascii="Times New Roman" w:hAnsi="Times New Roman" w:cs="Times New Roman"/>
          <w:sz w:val="26"/>
          <w:szCs w:val="26"/>
        </w:rPr>
        <w:t>’s 1823 opinion allowing intersession recess appointments, and Attorney General Knox’s opinion rejecting the validity of intrasession appointments.</w:t>
      </w:r>
      <w:r w:rsidR="000D4B1E">
        <w:rPr>
          <w:rStyle w:val="FootnoteReference"/>
          <w:rFonts w:ascii="Times New Roman" w:hAnsi="Times New Roman" w:cs="Times New Roman"/>
          <w:sz w:val="26"/>
          <w:szCs w:val="26"/>
        </w:rPr>
        <w:footnoteReference w:id="88"/>
      </w:r>
      <w:r>
        <w:rPr>
          <w:rFonts w:ascii="Times New Roman" w:hAnsi="Times New Roman" w:cs="Times New Roman"/>
          <w:sz w:val="26"/>
          <w:szCs w:val="26"/>
        </w:rPr>
        <w:t xml:space="preserve">  </w:t>
      </w:r>
      <w:r w:rsidR="00C32144">
        <w:rPr>
          <w:rFonts w:ascii="Times New Roman" w:hAnsi="Times New Roman" w:cs="Times New Roman"/>
          <w:sz w:val="26"/>
          <w:szCs w:val="26"/>
        </w:rPr>
        <w:t xml:space="preserve"> </w:t>
      </w:r>
      <w:r w:rsidR="000B5D72">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426F64" w:rsidRDefault="00E7229A" w:rsidP="00D021D3">
      <w:pPr>
        <w:pStyle w:val="ListParagraph"/>
        <w:numPr>
          <w:ilvl w:val="0"/>
          <w:numId w:val="14"/>
        </w:numPr>
        <w:spacing w:after="0" w:line="240" w:lineRule="auto"/>
        <w:rPr>
          <w:rFonts w:ascii="Times New Roman" w:hAnsi="Times New Roman" w:cs="Times New Roman"/>
          <w:sz w:val="26"/>
          <w:szCs w:val="26"/>
          <w:u w:val="single"/>
        </w:rPr>
      </w:pPr>
      <w:r w:rsidRPr="00426F64">
        <w:rPr>
          <w:rFonts w:ascii="Times New Roman" w:hAnsi="Times New Roman" w:cs="Times New Roman"/>
          <w:sz w:val="26"/>
          <w:szCs w:val="26"/>
          <w:u w:val="single"/>
        </w:rPr>
        <w:t>The Senate’s Confirmation Authority Is Not Limited to Up or Down Votes</w:t>
      </w: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Pr>
          <w:rFonts w:ascii="Times New Roman" w:hAnsi="Times New Roman" w:cs="Times New Roman"/>
          <w:sz w:val="26"/>
          <w:szCs w:val="26"/>
        </w:rPr>
        <w:t xml:space="preserve">The </w:t>
      </w:r>
      <w:r w:rsidRPr="00FC2C06">
        <w:rPr>
          <w:rFonts w:ascii="Times New Roman" w:hAnsi="Times New Roman" w:cs="Times New Roman"/>
          <w:sz w:val="26"/>
          <w:szCs w:val="26"/>
        </w:rPr>
        <w:t xml:space="preserve">confirmation </w:t>
      </w:r>
      <w:r>
        <w:rPr>
          <w:rFonts w:ascii="Times New Roman" w:hAnsi="Times New Roman" w:cs="Times New Roman"/>
          <w:sz w:val="26"/>
          <w:szCs w:val="26"/>
        </w:rPr>
        <w:t xml:space="preserve">authority </w:t>
      </w:r>
      <w:proofErr w:type="gramStart"/>
      <w:r>
        <w:rPr>
          <w:rFonts w:ascii="Times New Roman" w:hAnsi="Times New Roman" w:cs="Times New Roman"/>
          <w:sz w:val="26"/>
          <w:szCs w:val="26"/>
        </w:rPr>
        <w:t xml:space="preserve">is </w:t>
      </w:r>
      <w:r w:rsidRPr="00FC2C06">
        <w:rPr>
          <w:rFonts w:ascii="Times New Roman" w:hAnsi="Times New Roman" w:cs="Times New Roman"/>
          <w:sz w:val="26"/>
          <w:szCs w:val="26"/>
        </w:rPr>
        <w:t xml:space="preserve"> exclusively</w:t>
      </w:r>
      <w:proofErr w:type="gramEnd"/>
      <w:r w:rsidRPr="00FC2C06">
        <w:rPr>
          <w:rFonts w:ascii="Times New Roman" w:hAnsi="Times New Roman" w:cs="Times New Roman"/>
          <w:sz w:val="26"/>
          <w:szCs w:val="26"/>
        </w:rPr>
        <w:t xml:space="preserve"> committed to the Senate</w:t>
      </w:r>
      <w:r>
        <w:rPr>
          <w:rFonts w:ascii="Times New Roman" w:hAnsi="Times New Roman" w:cs="Times New Roman"/>
          <w:sz w:val="26"/>
          <w:szCs w:val="26"/>
        </w:rPr>
        <w:t xml:space="preserve">.  This authority includes </w:t>
      </w:r>
      <w:r w:rsidRPr="00FC2C06">
        <w:rPr>
          <w:rFonts w:ascii="Times New Roman" w:hAnsi="Times New Roman" w:cs="Times New Roman"/>
          <w:sz w:val="26"/>
          <w:szCs w:val="26"/>
        </w:rPr>
        <w:t xml:space="preserve">the determination when </w:t>
      </w:r>
      <w:r>
        <w:rPr>
          <w:rFonts w:ascii="Times New Roman" w:hAnsi="Times New Roman" w:cs="Times New Roman"/>
          <w:sz w:val="26"/>
          <w:szCs w:val="26"/>
        </w:rPr>
        <w:t>the Senate</w:t>
      </w:r>
      <w:r w:rsidRPr="00FC2C06">
        <w:rPr>
          <w:rFonts w:ascii="Times New Roman" w:hAnsi="Times New Roman" w:cs="Times New Roman"/>
          <w:sz w:val="26"/>
          <w:szCs w:val="26"/>
        </w:rPr>
        <w:t xml:space="preserve"> will declare a constitutionally recognized “recess” that will trigger the President’s</w:t>
      </w:r>
      <w:r>
        <w:rPr>
          <w:rFonts w:ascii="Times New Roman" w:hAnsi="Times New Roman" w:cs="Times New Roman"/>
          <w:sz w:val="26"/>
          <w:szCs w:val="26"/>
        </w:rPr>
        <w:t xml:space="preserve"> recess appointment powers. </w:t>
      </w:r>
      <w:r w:rsidRPr="00FC2C06">
        <w:rPr>
          <w:rFonts w:ascii="Times New Roman" w:hAnsi="Times New Roman" w:cs="Times New Roman"/>
          <w:sz w:val="26"/>
          <w:szCs w:val="26"/>
        </w:rPr>
        <w:t xml:space="preserve"> The Framers nowhere insisted that the House and Senate shut up shop at specified times. Rather, the Framers and early commentators understood that, as </w:t>
      </w:r>
      <w:r w:rsidR="003C4281">
        <w:rPr>
          <w:rFonts w:ascii="Times New Roman" w:hAnsi="Times New Roman" w:cs="Times New Roman"/>
          <w:sz w:val="26"/>
          <w:szCs w:val="26"/>
        </w:rPr>
        <w:t xml:space="preserve">a </w:t>
      </w:r>
      <w:r w:rsidRPr="00FC2C06">
        <w:rPr>
          <w:rFonts w:ascii="Times New Roman" w:hAnsi="Times New Roman" w:cs="Times New Roman"/>
          <w:sz w:val="26"/>
          <w:szCs w:val="26"/>
        </w:rPr>
        <w:t xml:space="preserve">practical matter, because of the </w:t>
      </w:r>
      <w:proofErr w:type="gramStart"/>
      <w:r w:rsidRPr="00FC2C06">
        <w:rPr>
          <w:rFonts w:ascii="Times New Roman" w:hAnsi="Times New Roman" w:cs="Times New Roman"/>
          <w:sz w:val="26"/>
          <w:szCs w:val="26"/>
        </w:rPr>
        <w:t>difficulties  of</w:t>
      </w:r>
      <w:proofErr w:type="gramEnd"/>
      <w:r w:rsidRPr="00FC2C06">
        <w:rPr>
          <w:rFonts w:ascii="Times New Roman" w:hAnsi="Times New Roman" w:cs="Times New Roman"/>
          <w:sz w:val="26"/>
          <w:szCs w:val="26"/>
        </w:rPr>
        <w:t xml:space="preserve"> transportation and personal needs at home, there would </w:t>
      </w:r>
      <w:r w:rsidR="003C4281">
        <w:rPr>
          <w:rFonts w:ascii="Times New Roman" w:hAnsi="Times New Roman" w:cs="Times New Roman"/>
          <w:sz w:val="26"/>
          <w:szCs w:val="26"/>
        </w:rPr>
        <w:t xml:space="preserve">be </w:t>
      </w:r>
      <w:r w:rsidRPr="00FC2C06">
        <w:rPr>
          <w:rFonts w:ascii="Times New Roman" w:hAnsi="Times New Roman" w:cs="Times New Roman"/>
          <w:sz w:val="26"/>
          <w:szCs w:val="26"/>
        </w:rPr>
        <w:t xml:space="preserve">lengthy </w:t>
      </w:r>
      <w:r w:rsidR="003C4281">
        <w:rPr>
          <w:rFonts w:ascii="Times New Roman" w:hAnsi="Times New Roman" w:cs="Times New Roman"/>
          <w:sz w:val="26"/>
          <w:szCs w:val="26"/>
        </w:rPr>
        <w:t xml:space="preserve"> </w:t>
      </w:r>
      <w:r w:rsidRPr="00FC2C06">
        <w:rPr>
          <w:rFonts w:ascii="Times New Roman" w:hAnsi="Times New Roman" w:cs="Times New Roman"/>
          <w:sz w:val="26"/>
          <w:szCs w:val="26"/>
        </w:rPr>
        <w:t>recesses after the work in a session had been completed. It was thought “it would improper to oblige the Senate to be continually in session for the appointment of officers” and it “might be necessary for the public service to fill [vacancies] without delay.”</w:t>
      </w:r>
      <w:r w:rsidRPr="00FC2C06">
        <w:rPr>
          <w:rStyle w:val="FootnoteReference"/>
          <w:rFonts w:ascii="Times New Roman" w:hAnsi="Times New Roman" w:cs="Times New Roman"/>
          <w:sz w:val="26"/>
          <w:szCs w:val="26"/>
        </w:rPr>
        <w:footnoteReference w:id="89"/>
      </w:r>
      <w:r w:rsidRPr="00FC2C06">
        <w:rPr>
          <w:rFonts w:ascii="Times New Roman" w:hAnsi="Times New Roman" w:cs="Times New Roman"/>
          <w:sz w:val="26"/>
          <w:szCs w:val="26"/>
        </w:rPr>
        <w:t xml:space="preserve"> But there is no evidence whatsoever that the Senate could not stay in continuous session indefinitely, thereby thwarting a nomination. OLC does not dispute that. It is also clear </w:t>
      </w:r>
      <w:r w:rsidRPr="00FC2C06">
        <w:rPr>
          <w:rFonts w:ascii="Times New Roman" w:hAnsi="Times New Roman" w:cs="Times New Roman"/>
          <w:sz w:val="26"/>
          <w:szCs w:val="26"/>
        </w:rPr>
        <w:lastRenderedPageBreak/>
        <w:t>that the Framers anticipated there would short breaks during a session and provided for them.</w:t>
      </w:r>
      <w:r w:rsidRPr="00FC2C06">
        <w:rPr>
          <w:rStyle w:val="FootnoteReference"/>
          <w:rFonts w:ascii="Times New Roman" w:hAnsi="Times New Roman" w:cs="Times New Roman"/>
          <w:sz w:val="26"/>
          <w:szCs w:val="26"/>
        </w:rPr>
        <w:footnoteReference w:id="90"/>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But</w:t>
      </w:r>
      <w:r>
        <w:rPr>
          <w:rFonts w:ascii="Times New Roman" w:hAnsi="Times New Roman" w:cs="Times New Roman"/>
          <w:sz w:val="26"/>
          <w:szCs w:val="26"/>
        </w:rPr>
        <w:t xml:space="preserve"> in the first 132 years of the Republic,</w:t>
      </w:r>
      <w:r w:rsidRPr="00FC2C06">
        <w:rPr>
          <w:rFonts w:ascii="Times New Roman" w:hAnsi="Times New Roman" w:cs="Times New Roman"/>
          <w:sz w:val="26"/>
          <w:szCs w:val="26"/>
        </w:rPr>
        <w:t xml:space="preserve"> only one President, the embattled Andrew Johnson in 1867, thought to make a recess appointment during an </w:t>
      </w:r>
      <w:r>
        <w:rPr>
          <w:rFonts w:ascii="Times New Roman" w:hAnsi="Times New Roman" w:cs="Times New Roman"/>
          <w:sz w:val="26"/>
          <w:szCs w:val="26"/>
        </w:rPr>
        <w:t xml:space="preserve">adjournment in the Senate proceedings occurring during a session of the Congress. </w:t>
      </w:r>
      <w:r w:rsidRPr="00FC2C06">
        <w:rPr>
          <w:rFonts w:ascii="Times New Roman" w:hAnsi="Times New Roman" w:cs="Times New Roman"/>
          <w:sz w:val="26"/>
          <w:szCs w:val="26"/>
        </w:rPr>
        <w:t xml:space="preserve">The next </w:t>
      </w:r>
      <w:r>
        <w:rPr>
          <w:rFonts w:ascii="Times New Roman" w:hAnsi="Times New Roman" w:cs="Times New Roman"/>
          <w:sz w:val="26"/>
          <w:szCs w:val="26"/>
        </w:rPr>
        <w:t xml:space="preserve">intrasession recess appointment </w:t>
      </w:r>
      <w:r w:rsidRPr="00FC2C06">
        <w:rPr>
          <w:rFonts w:ascii="Times New Roman" w:hAnsi="Times New Roman" w:cs="Times New Roman"/>
          <w:sz w:val="26"/>
          <w:szCs w:val="26"/>
        </w:rPr>
        <w:t xml:space="preserve">occurred in 1921. That action, by President Harding, rested </w:t>
      </w:r>
      <w:r>
        <w:rPr>
          <w:rFonts w:ascii="Times New Roman" w:hAnsi="Times New Roman" w:cs="Times New Roman"/>
          <w:sz w:val="26"/>
          <w:szCs w:val="26"/>
        </w:rPr>
        <w:t xml:space="preserve">on </w:t>
      </w:r>
      <w:r w:rsidRPr="00FC2C06">
        <w:rPr>
          <w:rFonts w:ascii="Times New Roman" w:hAnsi="Times New Roman" w:cs="Times New Roman"/>
          <w:sz w:val="26"/>
          <w:szCs w:val="26"/>
        </w:rPr>
        <w:t>an opinion by his Attorney General, Harry Daugherty.</w:t>
      </w:r>
      <w:r w:rsidRPr="00FC2C06">
        <w:rPr>
          <w:rStyle w:val="FootnoteReference"/>
          <w:rFonts w:ascii="Times New Roman" w:hAnsi="Times New Roman" w:cs="Times New Roman"/>
          <w:sz w:val="26"/>
          <w:szCs w:val="26"/>
        </w:rPr>
        <w:footnoteReference w:id="91"/>
      </w:r>
      <w:r w:rsidRPr="00FC2C06">
        <w:rPr>
          <w:rFonts w:ascii="Times New Roman" w:hAnsi="Times New Roman" w:cs="Times New Roman"/>
          <w:sz w:val="26"/>
          <w:szCs w:val="26"/>
        </w:rPr>
        <w:t xml:space="preserve"> Daugherty’s opinion overruled a contrary 1901 opinion rendered by Attorney General Philander Knox</w:t>
      </w:r>
      <w:r w:rsidRPr="00FC2C06">
        <w:rPr>
          <w:rStyle w:val="FootnoteReference"/>
          <w:rFonts w:ascii="Times New Roman" w:hAnsi="Times New Roman" w:cs="Times New Roman"/>
          <w:sz w:val="26"/>
          <w:szCs w:val="26"/>
        </w:rPr>
        <w:footnoteReference w:id="92"/>
      </w:r>
      <w:r w:rsidRPr="00FC2C06">
        <w:rPr>
          <w:rFonts w:ascii="Times New Roman" w:hAnsi="Times New Roman" w:cs="Times New Roman"/>
          <w:sz w:val="26"/>
          <w:szCs w:val="26"/>
        </w:rPr>
        <w:t xml:space="preserve"> who advised President Roosevelt that an intrasession adjournment of 18 days was not a constitutional recess that supported an exercise of the recess appointment power.  Attorney General Knox relied for his opinion on the absence of any recognition by his predecessors of such an authority, the wording of the Recess Clause limiting the power in the singular—“the Recess</w:t>
      </w:r>
      <w:r w:rsidR="004070C6">
        <w:rPr>
          <w:rFonts w:ascii="Times New Roman" w:hAnsi="Times New Roman" w:cs="Times New Roman"/>
          <w:sz w:val="26"/>
          <w:szCs w:val="26"/>
        </w:rPr>
        <w:t>”</w:t>
      </w:r>
      <w:r w:rsidRPr="00FC2C06">
        <w:rPr>
          <w:rFonts w:ascii="Times New Roman" w:hAnsi="Times New Roman" w:cs="Times New Roman"/>
          <w:sz w:val="26"/>
          <w:szCs w:val="26"/>
        </w:rPr>
        <w:t xml:space="preserve">— and that the fact that allowing </w:t>
      </w:r>
      <w:r>
        <w:rPr>
          <w:rFonts w:ascii="Times New Roman" w:hAnsi="Times New Roman" w:cs="Times New Roman"/>
          <w:sz w:val="26"/>
          <w:szCs w:val="26"/>
        </w:rPr>
        <w:t xml:space="preserve">for intrasession appointments would be </w:t>
      </w:r>
      <w:r w:rsidRPr="00FC2C06">
        <w:rPr>
          <w:rFonts w:ascii="Times New Roman" w:hAnsi="Times New Roman" w:cs="Times New Roman"/>
          <w:sz w:val="26"/>
          <w:szCs w:val="26"/>
        </w:rPr>
        <w:t>“convenient” was not sufficient to overcome the constitutional requirement for Senate confirmation.  As explained by Attorney General Knox:  “It may be that Congress might ‘temporarily adjourn’ for several months as well as several days, and thus seriously curtail the President’s power of making recess appointments. But this argument from convenience …cannot be admitted to obscure the true principles and distinctions ruling the point.”</w:t>
      </w:r>
      <w:r w:rsidRPr="00FC2C06">
        <w:rPr>
          <w:rStyle w:val="FootnoteReference"/>
          <w:rFonts w:ascii="Times New Roman" w:hAnsi="Times New Roman" w:cs="Times New Roman"/>
          <w:sz w:val="26"/>
          <w:szCs w:val="26"/>
        </w:rPr>
        <w:footnoteReference w:id="93"/>
      </w:r>
      <w:r w:rsidRPr="00FC2C06">
        <w:rPr>
          <w:rFonts w:ascii="Times New Roman" w:hAnsi="Times New Roman" w:cs="Times New Roman"/>
          <w:sz w:val="26"/>
          <w:szCs w:val="26"/>
        </w:rPr>
        <w:t xml:space="preserve">  The Attorney General also recognized that no constitutionally </w:t>
      </w:r>
      <w:proofErr w:type="gramStart"/>
      <w:r w:rsidRPr="00FC2C06">
        <w:rPr>
          <w:rFonts w:ascii="Times New Roman" w:hAnsi="Times New Roman" w:cs="Times New Roman"/>
          <w:sz w:val="26"/>
          <w:szCs w:val="26"/>
        </w:rPr>
        <w:t>supportable  bright</w:t>
      </w:r>
      <w:proofErr w:type="gramEnd"/>
      <w:r w:rsidRPr="00FC2C06">
        <w:rPr>
          <w:rFonts w:ascii="Times New Roman" w:hAnsi="Times New Roman" w:cs="Times New Roman"/>
          <w:sz w:val="26"/>
          <w:szCs w:val="26"/>
        </w:rPr>
        <w:t xml:space="preserve"> line could be drawn allowing </w:t>
      </w:r>
      <w:r w:rsidR="00121AB6">
        <w:rPr>
          <w:rFonts w:ascii="Times New Roman" w:hAnsi="Times New Roman" w:cs="Times New Roman"/>
          <w:sz w:val="26"/>
          <w:szCs w:val="26"/>
        </w:rPr>
        <w:t>President</w:t>
      </w:r>
      <w:r w:rsidRPr="00FC2C06">
        <w:rPr>
          <w:rFonts w:ascii="Times New Roman" w:hAnsi="Times New Roman" w:cs="Times New Roman"/>
          <w:sz w:val="26"/>
          <w:szCs w:val="26"/>
        </w:rPr>
        <w:t>s to invoke the Recess Clause only during certain recesses: “[If the president could make a recess appointment during this 18-day recess], I see no reason why such an appointment should not be made during any [intrasession recess], as from Thursday or Friday until the following Monday.”</w:t>
      </w:r>
      <w:r w:rsidRPr="00FC2C06">
        <w:rPr>
          <w:rStyle w:val="FootnoteReference"/>
          <w:rFonts w:ascii="Times New Roman" w:hAnsi="Times New Roman" w:cs="Times New Roman"/>
          <w:sz w:val="26"/>
          <w:szCs w:val="26"/>
        </w:rPr>
        <w:footnoteReference w:id="94"/>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Daugherty’s contrary opinion relied heavily on a</w:t>
      </w:r>
      <w:r w:rsidR="00F90EC1">
        <w:rPr>
          <w:rFonts w:ascii="Times New Roman" w:hAnsi="Times New Roman" w:cs="Times New Roman"/>
          <w:sz w:val="26"/>
          <w:szCs w:val="26"/>
        </w:rPr>
        <w:t xml:space="preserve"> </w:t>
      </w:r>
      <w:r w:rsidRPr="00FC2C06">
        <w:rPr>
          <w:rFonts w:ascii="Times New Roman" w:hAnsi="Times New Roman" w:cs="Times New Roman"/>
          <w:sz w:val="26"/>
          <w:szCs w:val="26"/>
        </w:rPr>
        <w:t xml:space="preserve">1905 Senate Judiciary Committee report that vehemently objected to President Roosevelt’s recess appointments </w:t>
      </w:r>
      <w:proofErr w:type="gramStart"/>
      <w:r w:rsidRPr="00FC2C06">
        <w:rPr>
          <w:rFonts w:ascii="Times New Roman" w:hAnsi="Times New Roman" w:cs="Times New Roman"/>
          <w:sz w:val="26"/>
          <w:szCs w:val="26"/>
        </w:rPr>
        <w:t>in  December</w:t>
      </w:r>
      <w:proofErr w:type="gramEnd"/>
      <w:r w:rsidRPr="00FC2C06">
        <w:rPr>
          <w:rFonts w:ascii="Times New Roman" w:hAnsi="Times New Roman" w:cs="Times New Roman"/>
          <w:sz w:val="26"/>
          <w:szCs w:val="26"/>
        </w:rPr>
        <w:t xml:space="preserve"> 1903 of 160 officials (including two that were controversial) in the instant between the end of one session of the 57</w:t>
      </w:r>
      <w:r w:rsidRPr="00FC2C06">
        <w:rPr>
          <w:rFonts w:ascii="Times New Roman" w:hAnsi="Times New Roman" w:cs="Times New Roman"/>
          <w:sz w:val="26"/>
          <w:szCs w:val="26"/>
          <w:vertAlign w:val="superscript"/>
        </w:rPr>
        <w:t>th</w:t>
      </w:r>
      <w:r w:rsidRPr="00FC2C06">
        <w:rPr>
          <w:rFonts w:ascii="Times New Roman" w:hAnsi="Times New Roman" w:cs="Times New Roman"/>
          <w:sz w:val="26"/>
          <w:szCs w:val="26"/>
        </w:rPr>
        <w:t xml:space="preserve"> Congress and the beginning of the next session. Roosevelt justified it as a “constructive recess.” The Committee in its criticism attempted to define an appropriate recess in practical terms </w:t>
      </w:r>
      <w:proofErr w:type="gramStart"/>
      <w:r w:rsidRPr="00FC2C06">
        <w:rPr>
          <w:rFonts w:ascii="Times New Roman" w:hAnsi="Times New Roman" w:cs="Times New Roman"/>
          <w:sz w:val="26"/>
          <w:szCs w:val="26"/>
        </w:rPr>
        <w:t>saying</w:t>
      </w:r>
      <w:proofErr w:type="gramEnd"/>
      <w:r w:rsidRPr="00FC2C06">
        <w:rPr>
          <w:rFonts w:ascii="Times New Roman" w:hAnsi="Times New Roman" w:cs="Times New Roman"/>
          <w:sz w:val="26"/>
          <w:szCs w:val="26"/>
        </w:rPr>
        <w:t xml:space="preserve"> “recess” meant “something real, not something imaginary; something actual, not something fictitious.”</w:t>
      </w:r>
      <w:r w:rsidRPr="00FC2C06">
        <w:rPr>
          <w:rStyle w:val="FootnoteReference"/>
          <w:rFonts w:ascii="Times New Roman" w:hAnsi="Times New Roman" w:cs="Times New Roman"/>
          <w:sz w:val="26"/>
          <w:szCs w:val="26"/>
        </w:rPr>
        <w:footnoteReference w:id="95"/>
      </w:r>
      <w:r w:rsidRPr="00FC2C06">
        <w:rPr>
          <w:rFonts w:ascii="Times New Roman" w:hAnsi="Times New Roman" w:cs="Times New Roman"/>
          <w:sz w:val="26"/>
          <w:szCs w:val="26"/>
        </w:rPr>
        <w:t xml:space="preserve"> The Committee, of course, was making no reference to intrasession adjournments because it was dealing with Roosevelt’s intercession appointments; there was no thought of any application of its remarks to intrasession recess appointments which had been ruled unavailable just four years before. Attorney General Daugherty, however, drew on </w:t>
      </w:r>
      <w:r w:rsidRPr="00FC2C06">
        <w:rPr>
          <w:rFonts w:ascii="Times New Roman" w:hAnsi="Times New Roman" w:cs="Times New Roman"/>
          <w:sz w:val="26"/>
          <w:szCs w:val="26"/>
        </w:rPr>
        <w:lastRenderedPageBreak/>
        <w:t>that “definition</w:t>
      </w:r>
      <w:r w:rsidR="004070C6">
        <w:rPr>
          <w:rFonts w:ascii="Times New Roman" w:hAnsi="Times New Roman" w:cs="Times New Roman"/>
          <w:sz w:val="26"/>
          <w:szCs w:val="26"/>
        </w:rPr>
        <w:t>,</w:t>
      </w:r>
      <w:r w:rsidRPr="00FC2C06">
        <w:rPr>
          <w:rFonts w:ascii="Times New Roman" w:hAnsi="Times New Roman" w:cs="Times New Roman"/>
          <w:sz w:val="26"/>
          <w:szCs w:val="26"/>
        </w:rPr>
        <w:t>” claiming that the term recess should be given a “practical,” not a “technical,” construction, and that “the real question” was “whether in a practical sense the Senate is in session so that its advice and consent could be obtained.”</w:t>
      </w:r>
      <w:r w:rsidRPr="00FC2C06">
        <w:rPr>
          <w:rStyle w:val="FootnoteReference"/>
          <w:rFonts w:ascii="Times New Roman" w:hAnsi="Times New Roman" w:cs="Times New Roman"/>
          <w:sz w:val="26"/>
          <w:szCs w:val="26"/>
        </w:rPr>
        <w:footnoteReference w:id="96"/>
      </w:r>
      <w:r w:rsidRPr="00FC2C06">
        <w:rPr>
          <w:rFonts w:ascii="Times New Roman" w:hAnsi="Times New Roman" w:cs="Times New Roman"/>
          <w:sz w:val="26"/>
          <w:szCs w:val="26"/>
        </w:rPr>
        <w:t xml:space="preserve"> Although Daugherty admitted there was a line drawing problem regarding the appropriate length for any intrasession recess, he opined that the </w:t>
      </w:r>
      <w:proofErr w:type="gramStart"/>
      <w:r w:rsidRPr="00FC2C06">
        <w:rPr>
          <w:rFonts w:ascii="Times New Roman" w:hAnsi="Times New Roman" w:cs="Times New Roman"/>
          <w:sz w:val="26"/>
          <w:szCs w:val="26"/>
        </w:rPr>
        <w:t>28 day</w:t>
      </w:r>
      <w:proofErr w:type="gramEnd"/>
      <w:r w:rsidRPr="00FC2C06">
        <w:rPr>
          <w:rFonts w:ascii="Times New Roman" w:hAnsi="Times New Roman" w:cs="Times New Roman"/>
          <w:sz w:val="26"/>
          <w:szCs w:val="26"/>
        </w:rPr>
        <w:t xml:space="preserve"> adjournment was long enough but that 5 or 10 days was not. The Attorney General then resolved the line drawing problem by advising that the President is vested with “</w:t>
      </w:r>
      <w:proofErr w:type="gramStart"/>
      <w:r w:rsidRPr="00FC2C06">
        <w:rPr>
          <w:rFonts w:ascii="Times New Roman" w:hAnsi="Times New Roman" w:cs="Times New Roman"/>
          <w:sz w:val="26"/>
          <w:szCs w:val="26"/>
        </w:rPr>
        <w:t>a  large</w:t>
      </w:r>
      <w:proofErr w:type="gramEnd"/>
      <w:r w:rsidRPr="00FC2C06">
        <w:rPr>
          <w:rFonts w:ascii="Times New Roman" w:hAnsi="Times New Roman" w:cs="Times New Roman"/>
          <w:sz w:val="26"/>
          <w:szCs w:val="26"/>
        </w:rPr>
        <w:t>, although not unlimited, discretion to determine when there is a real and genuine recess making it impossible for him to receive the advice and consent of the Senate.”</w:t>
      </w:r>
      <w:r w:rsidRPr="00FC2C06">
        <w:rPr>
          <w:rStyle w:val="FootnoteReference"/>
          <w:rFonts w:ascii="Times New Roman" w:hAnsi="Times New Roman" w:cs="Times New Roman"/>
          <w:sz w:val="26"/>
          <w:szCs w:val="26"/>
        </w:rPr>
        <w:footnoteReference w:id="97"/>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Daugherty’s opinion has been the touchstone for Attorney General and OLC opinions since then, flitting between adjournments as short as 3 and </w:t>
      </w:r>
      <w:proofErr w:type="gramStart"/>
      <w:r w:rsidRPr="00FC2C06">
        <w:rPr>
          <w:rFonts w:ascii="Times New Roman" w:hAnsi="Times New Roman" w:cs="Times New Roman"/>
          <w:sz w:val="26"/>
          <w:szCs w:val="26"/>
        </w:rPr>
        <w:t>10  days</w:t>
      </w:r>
      <w:proofErr w:type="gramEnd"/>
      <w:r w:rsidRPr="00FC2C06">
        <w:rPr>
          <w:rFonts w:ascii="Times New Roman" w:hAnsi="Times New Roman" w:cs="Times New Roman"/>
          <w:sz w:val="26"/>
          <w:szCs w:val="26"/>
        </w:rPr>
        <w:t xml:space="preserve">. Not only has Knox’s critique not been satisfactorily answered, </w:t>
      </w:r>
      <w:proofErr w:type="gramStart"/>
      <w:r w:rsidR="004070C6">
        <w:rPr>
          <w:rFonts w:ascii="Times New Roman" w:hAnsi="Times New Roman" w:cs="Times New Roman"/>
          <w:sz w:val="26"/>
          <w:szCs w:val="26"/>
        </w:rPr>
        <w:t>but</w:t>
      </w:r>
      <w:proofErr w:type="gramEnd"/>
      <w:r w:rsidR="004070C6">
        <w:rPr>
          <w:rFonts w:ascii="Times New Roman" w:hAnsi="Times New Roman" w:cs="Times New Roman"/>
          <w:sz w:val="26"/>
          <w:szCs w:val="26"/>
        </w:rPr>
        <w:t xml:space="preserve"> </w:t>
      </w:r>
      <w:r w:rsidRPr="00FC2C06">
        <w:rPr>
          <w:rFonts w:ascii="Times New Roman" w:hAnsi="Times New Roman" w:cs="Times New Roman"/>
          <w:sz w:val="26"/>
          <w:szCs w:val="26"/>
        </w:rPr>
        <w:t xml:space="preserve">circumstances have borne out his concerns. </w:t>
      </w:r>
      <w:r w:rsidR="004507EA">
        <w:rPr>
          <w:rFonts w:ascii="Times New Roman" w:hAnsi="Times New Roman" w:cs="Times New Roman"/>
          <w:sz w:val="26"/>
          <w:szCs w:val="26"/>
        </w:rPr>
        <w:t xml:space="preserve"> The </w:t>
      </w:r>
      <w:proofErr w:type="gramStart"/>
      <w:r w:rsidR="004507EA">
        <w:rPr>
          <w:rFonts w:ascii="Times New Roman" w:hAnsi="Times New Roman" w:cs="Times New Roman"/>
          <w:sz w:val="26"/>
          <w:szCs w:val="26"/>
        </w:rPr>
        <w:t xml:space="preserve">number of </w:t>
      </w:r>
      <w:r w:rsidRPr="00FC2C06">
        <w:rPr>
          <w:rFonts w:ascii="Times New Roman" w:hAnsi="Times New Roman" w:cs="Times New Roman"/>
          <w:sz w:val="26"/>
          <w:szCs w:val="26"/>
        </w:rPr>
        <w:t>intrasession recess appointments</w:t>
      </w:r>
      <w:r w:rsidR="004507EA">
        <w:rPr>
          <w:rFonts w:ascii="Times New Roman" w:hAnsi="Times New Roman" w:cs="Times New Roman"/>
          <w:sz w:val="26"/>
          <w:szCs w:val="26"/>
        </w:rPr>
        <w:t xml:space="preserve"> have</w:t>
      </w:r>
      <w:proofErr w:type="gramEnd"/>
      <w:r w:rsidR="004507EA">
        <w:rPr>
          <w:rFonts w:ascii="Times New Roman" w:hAnsi="Times New Roman" w:cs="Times New Roman"/>
          <w:sz w:val="26"/>
          <w:szCs w:val="26"/>
        </w:rPr>
        <w:t xml:space="preserve"> increased dramatically in the past</w:t>
      </w:r>
      <w:r w:rsidR="00D30D1A">
        <w:rPr>
          <w:rFonts w:ascii="Times New Roman" w:hAnsi="Times New Roman" w:cs="Times New Roman"/>
          <w:sz w:val="26"/>
          <w:szCs w:val="26"/>
        </w:rPr>
        <w:t xml:space="preserve"> three</w:t>
      </w:r>
      <w:r w:rsidR="004507EA">
        <w:rPr>
          <w:rFonts w:ascii="Times New Roman" w:hAnsi="Times New Roman" w:cs="Times New Roman"/>
          <w:sz w:val="26"/>
          <w:szCs w:val="26"/>
        </w:rPr>
        <w:t xml:space="preserve"> decades even though there has been no significant increase in </w:t>
      </w:r>
      <w:r w:rsidR="00460771">
        <w:rPr>
          <w:rFonts w:ascii="Times New Roman" w:hAnsi="Times New Roman" w:cs="Times New Roman"/>
          <w:sz w:val="26"/>
          <w:szCs w:val="26"/>
        </w:rPr>
        <w:t xml:space="preserve">the amount of time spent in </w:t>
      </w:r>
      <w:r w:rsidR="004507EA">
        <w:rPr>
          <w:rFonts w:ascii="Times New Roman" w:hAnsi="Times New Roman" w:cs="Times New Roman"/>
          <w:sz w:val="26"/>
          <w:szCs w:val="26"/>
        </w:rPr>
        <w:t xml:space="preserve">intrasession recesses. </w:t>
      </w:r>
      <w:r w:rsidRPr="00FC2C06">
        <w:rPr>
          <w:rFonts w:ascii="Times New Roman" w:hAnsi="Times New Roman" w:cs="Times New Roman"/>
          <w:sz w:val="26"/>
          <w:szCs w:val="26"/>
        </w:rPr>
        <w:t xml:space="preserve"> </w:t>
      </w:r>
      <w:r w:rsidR="00460771">
        <w:rPr>
          <w:rFonts w:ascii="Times New Roman" w:hAnsi="Times New Roman" w:cs="Times New Roman"/>
          <w:sz w:val="26"/>
          <w:szCs w:val="26"/>
        </w:rPr>
        <w:t>A reviewing court could logically find that the Senate’s role in the confirmation process i</w:t>
      </w:r>
      <w:r w:rsidRPr="00FC2C06">
        <w:rPr>
          <w:rFonts w:ascii="Times New Roman" w:hAnsi="Times New Roman" w:cs="Times New Roman"/>
          <w:sz w:val="26"/>
          <w:szCs w:val="26"/>
        </w:rPr>
        <w:t xml:space="preserve">s being undermined and usurped by </w:t>
      </w:r>
      <w:r w:rsidR="00460771">
        <w:rPr>
          <w:rFonts w:ascii="Times New Roman" w:hAnsi="Times New Roman" w:cs="Times New Roman"/>
          <w:sz w:val="26"/>
          <w:szCs w:val="26"/>
        </w:rPr>
        <w:t xml:space="preserve">relatively </w:t>
      </w:r>
      <w:proofErr w:type="gramStart"/>
      <w:r w:rsidR="00460771">
        <w:rPr>
          <w:rFonts w:ascii="Times New Roman" w:hAnsi="Times New Roman" w:cs="Times New Roman"/>
          <w:sz w:val="26"/>
          <w:szCs w:val="26"/>
        </w:rPr>
        <w:t>recent</w:t>
      </w:r>
      <w:r w:rsidR="00366828">
        <w:rPr>
          <w:rFonts w:ascii="Times New Roman" w:hAnsi="Times New Roman" w:cs="Times New Roman"/>
          <w:sz w:val="26"/>
          <w:szCs w:val="26"/>
        </w:rPr>
        <w:t xml:space="preserve"> </w:t>
      </w:r>
      <w:r w:rsidR="00460771">
        <w:rPr>
          <w:rFonts w:ascii="Times New Roman" w:hAnsi="Times New Roman" w:cs="Times New Roman"/>
          <w:sz w:val="26"/>
          <w:szCs w:val="26"/>
        </w:rPr>
        <w:t xml:space="preserve"> aggressive</w:t>
      </w:r>
      <w:proofErr w:type="gramEnd"/>
      <w:r w:rsidR="00460771">
        <w:rPr>
          <w:rFonts w:ascii="Times New Roman" w:hAnsi="Times New Roman" w:cs="Times New Roman"/>
          <w:sz w:val="26"/>
          <w:szCs w:val="26"/>
        </w:rPr>
        <w:t xml:space="preserve"> </w:t>
      </w:r>
      <w:r w:rsidR="00366828">
        <w:rPr>
          <w:rFonts w:ascii="Times New Roman" w:hAnsi="Times New Roman" w:cs="Times New Roman"/>
          <w:sz w:val="26"/>
          <w:szCs w:val="26"/>
        </w:rPr>
        <w:t xml:space="preserve">use </w:t>
      </w:r>
      <w:r w:rsidR="00460771">
        <w:rPr>
          <w:rFonts w:ascii="Times New Roman" w:hAnsi="Times New Roman" w:cs="Times New Roman"/>
          <w:sz w:val="26"/>
          <w:szCs w:val="26"/>
        </w:rPr>
        <w:t xml:space="preserve">by the President of his recess appointment power.  </w:t>
      </w:r>
      <w:r w:rsidRPr="00FC2C06">
        <w:rPr>
          <w:rFonts w:ascii="Times New Roman" w:hAnsi="Times New Roman" w:cs="Times New Roman"/>
          <w:sz w:val="26"/>
          <w:szCs w:val="26"/>
        </w:rPr>
        <w:t xml:space="preserve"> Assuming for the moment that some number of intrasession days reflect an appropriate constitutional recess, and the President can, in his </w:t>
      </w:r>
      <w:proofErr w:type="gramStart"/>
      <w:r w:rsidRPr="00FC2C06">
        <w:rPr>
          <w:rFonts w:ascii="Times New Roman" w:hAnsi="Times New Roman" w:cs="Times New Roman"/>
          <w:sz w:val="26"/>
          <w:szCs w:val="26"/>
        </w:rPr>
        <w:t>discretion  determine</w:t>
      </w:r>
      <w:proofErr w:type="gramEnd"/>
      <w:r w:rsidRPr="00FC2C06">
        <w:rPr>
          <w:rFonts w:ascii="Times New Roman" w:hAnsi="Times New Roman" w:cs="Times New Roman"/>
          <w:sz w:val="26"/>
          <w:szCs w:val="26"/>
        </w:rPr>
        <w:t xml:space="preserve"> when the Senate is “unavailable,” what is left of the Senate’s confirmation authority?  The answer is nothing, and that should be unacceptable to any reviewing court. </w:t>
      </w:r>
    </w:p>
    <w:p w:rsidR="00E7229A" w:rsidRPr="00FC2C06" w:rsidRDefault="00E7229A" w:rsidP="00D067DB">
      <w:pPr>
        <w:spacing w:after="0" w:line="240" w:lineRule="auto"/>
        <w:rPr>
          <w:rFonts w:ascii="Times New Roman" w:hAnsi="Times New Roman" w:cs="Times New Roman"/>
          <w:sz w:val="26"/>
          <w:szCs w:val="26"/>
        </w:rPr>
      </w:pPr>
    </w:p>
    <w:p w:rsidR="007B42E1"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proper question is not the “availability” of the Senate to act but, rather, the Senate’s “willingness” to act, a determination that the Framers and Supreme Court rulings have long recognized is textually committed to that body’s sole and exclusive discretion under the scheme of the general appointments process and the exercise of its rulemaking power. If the Senate can stay in session perpetually, if it can filibuster a nomination to death or by even by the threat to do so, it can protect its </w:t>
      </w:r>
      <w:proofErr w:type="gramStart"/>
      <w:r w:rsidRPr="00FC2C06">
        <w:rPr>
          <w:rFonts w:ascii="Times New Roman" w:hAnsi="Times New Roman" w:cs="Times New Roman"/>
          <w:sz w:val="26"/>
          <w:szCs w:val="26"/>
        </w:rPr>
        <w:t>prerogative  by</w:t>
      </w:r>
      <w:proofErr w:type="gramEnd"/>
      <w:r w:rsidRPr="00FC2C06">
        <w:rPr>
          <w:rFonts w:ascii="Times New Roman" w:hAnsi="Times New Roman" w:cs="Times New Roman"/>
          <w:sz w:val="26"/>
          <w:szCs w:val="26"/>
        </w:rPr>
        <w:t xml:space="preserve"> conducting pro forma sessions. Such action is not </w:t>
      </w:r>
      <w:proofErr w:type="gramStart"/>
      <w:r w:rsidRPr="00FC2C06">
        <w:rPr>
          <w:rFonts w:ascii="Times New Roman" w:hAnsi="Times New Roman" w:cs="Times New Roman"/>
          <w:sz w:val="26"/>
          <w:szCs w:val="26"/>
        </w:rPr>
        <w:t>a</w:t>
      </w:r>
      <w:proofErr w:type="gramEnd"/>
      <w:r w:rsidRPr="00FC2C06">
        <w:rPr>
          <w:rFonts w:ascii="Times New Roman" w:hAnsi="Times New Roman" w:cs="Times New Roman"/>
          <w:sz w:val="26"/>
          <w:szCs w:val="26"/>
        </w:rPr>
        <w:t xml:space="preserve"> unconstitutional “sham.” It is an appropriate defensive posture against a reasonably perceived threat of Executive usurpation. And there can be no “bad” reason for stopping a nomination that would allow a court to intervene. The only remedy is purely political, the opprobrium of the electorate against </w:t>
      </w:r>
      <w:r w:rsidR="00752D0A">
        <w:rPr>
          <w:rFonts w:ascii="Times New Roman" w:hAnsi="Times New Roman" w:cs="Times New Roman"/>
          <w:sz w:val="26"/>
          <w:szCs w:val="26"/>
        </w:rPr>
        <w:t>the</w:t>
      </w:r>
      <w:r w:rsidRPr="00FC2C06">
        <w:rPr>
          <w:rFonts w:ascii="Times New Roman" w:hAnsi="Times New Roman" w:cs="Times New Roman"/>
          <w:sz w:val="26"/>
          <w:szCs w:val="26"/>
        </w:rPr>
        <w:t xml:space="preserve"> actor </w:t>
      </w:r>
      <w:r w:rsidR="007B42E1">
        <w:rPr>
          <w:rFonts w:ascii="Times New Roman" w:hAnsi="Times New Roman" w:cs="Times New Roman"/>
          <w:sz w:val="26"/>
          <w:szCs w:val="26"/>
        </w:rPr>
        <w:t xml:space="preserve">who </w:t>
      </w:r>
      <w:r w:rsidRPr="00FC2C06">
        <w:rPr>
          <w:rFonts w:ascii="Times New Roman" w:hAnsi="Times New Roman" w:cs="Times New Roman"/>
          <w:sz w:val="26"/>
          <w:szCs w:val="26"/>
        </w:rPr>
        <w:t xml:space="preserve">is deemed to be wrong. Indeed, if this situation goes before a court it will likely be guided by the nonjusticiability standard enunciated </w:t>
      </w:r>
      <w:proofErr w:type="gramStart"/>
      <w:r w:rsidRPr="00FC2C06">
        <w:rPr>
          <w:rFonts w:ascii="Times New Roman" w:hAnsi="Times New Roman" w:cs="Times New Roman"/>
          <w:sz w:val="26"/>
          <w:szCs w:val="26"/>
        </w:rPr>
        <w:t xml:space="preserve">in  </w:t>
      </w:r>
      <w:r w:rsidRPr="00FC2C06">
        <w:rPr>
          <w:rFonts w:ascii="Times New Roman" w:hAnsi="Times New Roman" w:cs="Times New Roman"/>
          <w:i/>
          <w:iCs/>
          <w:sz w:val="26"/>
          <w:szCs w:val="26"/>
        </w:rPr>
        <w:t>Nixon</w:t>
      </w:r>
      <w:proofErr w:type="gramEnd"/>
      <w:r w:rsidRPr="00FC2C06">
        <w:rPr>
          <w:rFonts w:ascii="Times New Roman" w:hAnsi="Times New Roman" w:cs="Times New Roman"/>
          <w:i/>
          <w:iCs/>
          <w:sz w:val="26"/>
          <w:szCs w:val="26"/>
        </w:rPr>
        <w:t xml:space="preserve">  v. United States. </w:t>
      </w:r>
      <w:r w:rsidRPr="00FC2C06">
        <w:rPr>
          <w:rFonts w:ascii="Times New Roman" w:hAnsi="Times New Roman" w:cs="Times New Roman"/>
          <w:sz w:val="26"/>
          <w:szCs w:val="26"/>
        </w:rPr>
        <w:t xml:space="preserve">A court reviewing the question of how many days are required for an intrasession adjournment to be considered a constitutional recess will not have any manageable standard to guide its decision, and will be faced with the clear constitutional commitments of rulemaking power and confirmation authority to the Senate.  It would be unlikely that the judicial branch would interfere with these clear Senate prerogatives.  </w:t>
      </w: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lastRenderedPageBreak/>
        <w:tab/>
        <w:t xml:space="preserve">               </w:t>
      </w:r>
      <w:r w:rsidRPr="00FC2C06">
        <w:rPr>
          <w:rFonts w:ascii="Times New Roman" w:hAnsi="Times New Roman" w:cs="Times New Roman"/>
          <w:sz w:val="26"/>
          <w:szCs w:val="26"/>
        </w:rPr>
        <w:tab/>
      </w:r>
      <w:r w:rsidRPr="00FC2C06">
        <w:rPr>
          <w:rFonts w:ascii="Times New Roman" w:hAnsi="Times New Roman" w:cs="Times New Roman"/>
          <w:sz w:val="26"/>
          <w:szCs w:val="26"/>
        </w:rPr>
        <w:tab/>
      </w: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In summary, the Constitution specifically committed to the Senate the exclusive authority to confirm nominations.  The Constitution also expressly authorizes the Senate to establish its own rules for all of its proceedings.  The debates held by Framers emphasized the important role of the Senate as a balance and check on the President’s appointment power, but are silent on the Recess Appointment provision. The President’s actions </w:t>
      </w:r>
      <w:r w:rsidR="008611CE">
        <w:rPr>
          <w:rFonts w:ascii="Times New Roman" w:hAnsi="Times New Roman" w:cs="Times New Roman"/>
          <w:sz w:val="26"/>
          <w:szCs w:val="26"/>
        </w:rPr>
        <w:t>may</w:t>
      </w:r>
      <w:r w:rsidRPr="00FC2C06">
        <w:rPr>
          <w:rFonts w:ascii="Times New Roman" w:hAnsi="Times New Roman" w:cs="Times New Roman"/>
          <w:sz w:val="26"/>
          <w:szCs w:val="26"/>
        </w:rPr>
        <w:t xml:space="preserve"> well be seen as an attempt at usurping the Senate’s authority and role in the appointment process.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p>
    <w:p w:rsidR="00E7229A" w:rsidRPr="00FC2C06" w:rsidRDefault="00E7229A" w:rsidP="000F7CE1">
      <w:pPr>
        <w:spacing w:after="0" w:line="240" w:lineRule="auto"/>
        <w:ind w:left="720" w:hanging="720"/>
        <w:rPr>
          <w:rFonts w:ascii="Times New Roman" w:hAnsi="Times New Roman" w:cs="Times New Roman"/>
          <w:sz w:val="26"/>
          <w:szCs w:val="26"/>
          <w:u w:val="single"/>
        </w:rPr>
      </w:pPr>
      <w:r w:rsidRPr="00FC2C06">
        <w:rPr>
          <w:rFonts w:ascii="Times New Roman" w:hAnsi="Times New Roman" w:cs="Times New Roman"/>
          <w:sz w:val="26"/>
          <w:szCs w:val="26"/>
        </w:rPr>
        <w:t>IV.</w:t>
      </w:r>
      <w:r w:rsidRPr="00FC2C06">
        <w:rPr>
          <w:rFonts w:ascii="Times New Roman" w:hAnsi="Times New Roman" w:cs="Times New Roman"/>
          <w:sz w:val="26"/>
          <w:szCs w:val="26"/>
        </w:rPr>
        <w:tab/>
      </w:r>
      <w:r w:rsidRPr="00FC2C06">
        <w:rPr>
          <w:rFonts w:ascii="Times New Roman" w:hAnsi="Times New Roman" w:cs="Times New Roman"/>
          <w:sz w:val="26"/>
          <w:szCs w:val="26"/>
          <w:u w:val="single"/>
        </w:rPr>
        <w:t>There is No Long-Standing Historic Practice that Supports Intrasession Recess Appointments</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OLC Opinion makes much of a purported long-standing historic practice and recognition of presidential intrasession recess appointments.  </w:t>
      </w:r>
      <w:r>
        <w:rPr>
          <w:rFonts w:ascii="Times New Roman" w:hAnsi="Times New Roman" w:cs="Times New Roman"/>
          <w:sz w:val="26"/>
          <w:szCs w:val="26"/>
        </w:rPr>
        <w:t>As explained above,</w:t>
      </w:r>
      <w:r w:rsidRPr="00FC2C06">
        <w:rPr>
          <w:rFonts w:ascii="Times New Roman" w:hAnsi="Times New Roman" w:cs="Times New Roman"/>
          <w:sz w:val="26"/>
          <w:szCs w:val="26"/>
        </w:rPr>
        <w:t xml:space="preserve"> intrasession recess appointments are a relatively new phenomenon, occurring almost exclusively since 1947.  There is no record of any </w:t>
      </w:r>
      <w:r w:rsidR="00121AB6">
        <w:rPr>
          <w:rFonts w:ascii="Times New Roman" w:hAnsi="Times New Roman" w:cs="Times New Roman"/>
          <w:sz w:val="26"/>
          <w:szCs w:val="26"/>
        </w:rPr>
        <w:t>President</w:t>
      </w:r>
      <w:r w:rsidRPr="00FC2C06">
        <w:rPr>
          <w:rFonts w:ascii="Times New Roman" w:hAnsi="Times New Roman" w:cs="Times New Roman"/>
          <w:sz w:val="26"/>
          <w:szCs w:val="26"/>
        </w:rPr>
        <w:t xml:space="preserve"> having made an intrasession recess appointment until July 1867</w:t>
      </w:r>
      <w:r w:rsidR="00D30D1A">
        <w:rPr>
          <w:rFonts w:ascii="Times New Roman" w:hAnsi="Times New Roman" w:cs="Times New Roman"/>
          <w:sz w:val="26"/>
          <w:szCs w:val="26"/>
        </w:rPr>
        <w:t>,</w:t>
      </w:r>
      <w:r w:rsidRPr="00FC2C06">
        <w:rPr>
          <w:rFonts w:ascii="Times New Roman" w:hAnsi="Times New Roman" w:cs="Times New Roman"/>
          <w:sz w:val="26"/>
          <w:szCs w:val="26"/>
        </w:rPr>
        <w:t xml:space="preserve"> and none thereafter until August 1921.  Indeed, as has been related above, in 1901 Attorney General Knox issued an opinion that advised President Roosevelt that recess appointment power applies only during “the period after the final adjournment of Congress for the session, and before the next session begins.”</w:t>
      </w:r>
      <w:r w:rsidRPr="00FC2C06">
        <w:rPr>
          <w:rStyle w:val="FootnoteReference"/>
          <w:rFonts w:ascii="Times New Roman" w:hAnsi="Times New Roman" w:cs="Times New Roman"/>
          <w:sz w:val="26"/>
          <w:szCs w:val="26"/>
        </w:rPr>
        <w:footnoteReference w:id="98"/>
      </w:r>
      <w:r w:rsidRPr="00FC2C06">
        <w:rPr>
          <w:rFonts w:ascii="Times New Roman" w:hAnsi="Times New Roman" w:cs="Times New Roman"/>
          <w:sz w:val="26"/>
          <w:szCs w:val="26"/>
        </w:rPr>
        <w:t xml:space="preserve"> </w:t>
      </w:r>
      <w:proofErr w:type="gramStart"/>
      <w:r w:rsidRPr="00FC2C06">
        <w:rPr>
          <w:rFonts w:ascii="Times New Roman" w:hAnsi="Times New Roman" w:cs="Times New Roman"/>
          <w:sz w:val="26"/>
          <w:szCs w:val="26"/>
        </w:rPr>
        <w:t>The Knox opinion was abandoned by Attorney General Daugherty</w:t>
      </w:r>
      <w:proofErr w:type="gramEnd"/>
      <w:r w:rsidRPr="00FC2C06">
        <w:rPr>
          <w:rFonts w:ascii="Times New Roman" w:hAnsi="Times New Roman" w:cs="Times New Roman"/>
          <w:sz w:val="26"/>
          <w:szCs w:val="26"/>
        </w:rPr>
        <w:t xml:space="preserve"> in 1921,</w:t>
      </w:r>
      <w:r w:rsidRPr="00FC2C06">
        <w:rPr>
          <w:rStyle w:val="FootnoteReference"/>
          <w:rFonts w:ascii="Times New Roman" w:hAnsi="Times New Roman" w:cs="Times New Roman"/>
          <w:sz w:val="26"/>
          <w:szCs w:val="26"/>
        </w:rPr>
        <w:footnoteReference w:id="99"/>
      </w:r>
      <w:r w:rsidRPr="00FC2C06">
        <w:rPr>
          <w:rFonts w:ascii="Times New Roman" w:hAnsi="Times New Roman" w:cs="Times New Roman"/>
          <w:sz w:val="26"/>
          <w:szCs w:val="26"/>
        </w:rPr>
        <w:t xml:space="preserve"> when President Harding used that tactic to make an intrasession appointment, but only one other such intrasession recess appointment was made (Coolidge in 1928) until 1947.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Thus, there were three intrasession appointments in the first 150 years of the republic.  Usage thereafter was initially modest</w:t>
      </w:r>
      <w:r w:rsidR="00D30D1A">
        <w:rPr>
          <w:rFonts w:ascii="Times New Roman" w:hAnsi="Times New Roman" w:cs="Times New Roman"/>
          <w:sz w:val="26"/>
          <w:szCs w:val="26"/>
        </w:rPr>
        <w:t xml:space="preserve">, </w:t>
      </w:r>
      <w:r w:rsidRPr="00FC2C06">
        <w:rPr>
          <w:rFonts w:ascii="Times New Roman" w:hAnsi="Times New Roman" w:cs="Times New Roman"/>
          <w:sz w:val="26"/>
          <w:szCs w:val="26"/>
        </w:rPr>
        <w:t>a total of 54</w:t>
      </w:r>
      <w:r w:rsidR="00D30D1A">
        <w:rPr>
          <w:rFonts w:ascii="Times New Roman" w:hAnsi="Times New Roman" w:cs="Times New Roman"/>
          <w:sz w:val="26"/>
          <w:szCs w:val="26"/>
        </w:rPr>
        <w:t xml:space="preserve"> </w:t>
      </w:r>
      <w:r w:rsidRPr="00FC2C06">
        <w:rPr>
          <w:rFonts w:ascii="Times New Roman" w:hAnsi="Times New Roman" w:cs="Times New Roman"/>
          <w:sz w:val="26"/>
          <w:szCs w:val="26"/>
        </w:rPr>
        <w:t>between 1947 and 1980</w:t>
      </w:r>
      <w:r w:rsidR="00D30D1A">
        <w:rPr>
          <w:rFonts w:ascii="Times New Roman" w:hAnsi="Times New Roman" w:cs="Times New Roman"/>
          <w:sz w:val="26"/>
          <w:szCs w:val="26"/>
        </w:rPr>
        <w:t xml:space="preserve">.  However, intrasession appointments </w:t>
      </w:r>
      <w:r w:rsidRPr="00FC2C06">
        <w:rPr>
          <w:rFonts w:ascii="Times New Roman" w:hAnsi="Times New Roman" w:cs="Times New Roman"/>
          <w:sz w:val="26"/>
          <w:szCs w:val="26"/>
        </w:rPr>
        <w:t>increased in the Reagan (73), Bush (37), and Clinton (53) administrations.</w:t>
      </w:r>
      <w:r w:rsidRPr="00FC2C06">
        <w:rPr>
          <w:rStyle w:val="FootnoteReference"/>
          <w:rFonts w:ascii="Times New Roman" w:hAnsi="Times New Roman" w:cs="Times New Roman"/>
          <w:sz w:val="26"/>
          <w:szCs w:val="26"/>
        </w:rPr>
        <w:footnoteReference w:id="100"/>
      </w:r>
      <w:r w:rsidRPr="00FC2C06">
        <w:rPr>
          <w:rFonts w:ascii="Times New Roman" w:hAnsi="Times New Roman" w:cs="Times New Roman"/>
          <w:sz w:val="26"/>
          <w:szCs w:val="26"/>
        </w:rPr>
        <w:t xml:space="preserve">  </w:t>
      </w:r>
      <w:r w:rsidR="00D30D1A">
        <w:rPr>
          <w:rFonts w:ascii="Times New Roman" w:hAnsi="Times New Roman" w:cs="Times New Roman"/>
          <w:sz w:val="26"/>
          <w:szCs w:val="26"/>
        </w:rPr>
        <w:t>I</w:t>
      </w:r>
      <w:r w:rsidRPr="00FC2C06">
        <w:rPr>
          <w:rFonts w:ascii="Times New Roman" w:hAnsi="Times New Roman" w:cs="Times New Roman"/>
          <w:sz w:val="26"/>
          <w:szCs w:val="26"/>
        </w:rPr>
        <w:t>ntrasession appointments burgeoned during the G.W. Bush administration to 141.  Thus far President Obama has issued 26. Also, for the first time in the history of the United States, intrasession appointments exceeded intercession appointments in the Bush and Obama eras: 141 intrasession appointments to 30 intersession appointments for Bush and 26 to 6 so far for Obama, an indication of an increased and conscious Executive abandonment of the Senate confirmation process.</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fact is that, contrary to the implications of the OLC assertions, intrasession recess appointments do not date back to our founding era but are a development occurring in the last half century, with a dramatic increase in use in the last decade.  In adjudicating issues about the scope of the recess appointment power, the Ninth Circuit noted that courts give “considerable weight…to an unbroken practice, which has </w:t>
      </w:r>
      <w:r w:rsidRPr="00FC2C06">
        <w:rPr>
          <w:rFonts w:ascii="Times New Roman" w:hAnsi="Times New Roman" w:cs="Times New Roman"/>
          <w:sz w:val="26"/>
          <w:szCs w:val="26"/>
        </w:rPr>
        <w:lastRenderedPageBreak/>
        <w:t>prevailed since the inception of our nation and was acquiesced in by the Framers of the Constitution when they were participating in public affairs.”</w:t>
      </w:r>
      <w:r w:rsidRPr="00FC2C06">
        <w:rPr>
          <w:rStyle w:val="FootnoteReference"/>
          <w:rFonts w:ascii="Times New Roman" w:hAnsi="Times New Roman" w:cs="Times New Roman"/>
          <w:sz w:val="26"/>
          <w:szCs w:val="26"/>
        </w:rPr>
        <w:footnoteReference w:id="101"/>
      </w:r>
      <w:r w:rsidRPr="00FC2C06">
        <w:rPr>
          <w:rFonts w:ascii="Times New Roman" w:hAnsi="Times New Roman" w:cs="Times New Roman"/>
          <w:sz w:val="26"/>
          <w:szCs w:val="26"/>
        </w:rPr>
        <w:t xml:space="preserve"> </w:t>
      </w:r>
      <w:r w:rsidR="008611CE">
        <w:rPr>
          <w:rFonts w:ascii="Times New Roman" w:hAnsi="Times New Roman" w:cs="Times New Roman"/>
          <w:sz w:val="26"/>
          <w:szCs w:val="26"/>
        </w:rPr>
        <w:t xml:space="preserve">That is certainly not the case here. </w:t>
      </w:r>
      <w:r w:rsidRPr="00FC2C06">
        <w:rPr>
          <w:rFonts w:ascii="Times New Roman" w:hAnsi="Times New Roman" w:cs="Times New Roman"/>
          <w:sz w:val="26"/>
          <w:szCs w:val="26"/>
        </w:rPr>
        <w:t xml:space="preserve"> In </w:t>
      </w:r>
      <w:r w:rsidRPr="00FC2C06">
        <w:rPr>
          <w:rFonts w:ascii="Times New Roman" w:hAnsi="Times New Roman" w:cs="Times New Roman"/>
          <w:i/>
          <w:iCs/>
          <w:sz w:val="26"/>
          <w:szCs w:val="26"/>
        </w:rPr>
        <w:t>INS v. Chadha</w:t>
      </w:r>
      <w:r w:rsidRPr="00FC2C06">
        <w:rPr>
          <w:rFonts w:ascii="Times New Roman" w:hAnsi="Times New Roman" w:cs="Times New Roman"/>
          <w:sz w:val="26"/>
          <w:szCs w:val="26"/>
        </w:rPr>
        <w:t>,</w:t>
      </w:r>
      <w:r w:rsidRPr="00FC2C06">
        <w:rPr>
          <w:rStyle w:val="FootnoteReference"/>
          <w:rFonts w:ascii="Times New Roman" w:hAnsi="Times New Roman" w:cs="Times New Roman"/>
          <w:sz w:val="26"/>
          <w:szCs w:val="26"/>
        </w:rPr>
        <w:footnoteReference w:id="102"/>
      </w:r>
      <w:r w:rsidRPr="00FC2C06">
        <w:rPr>
          <w:rFonts w:ascii="Times New Roman" w:hAnsi="Times New Roman" w:cs="Times New Roman"/>
          <w:sz w:val="26"/>
          <w:szCs w:val="26"/>
        </w:rPr>
        <w:t xml:space="preserve"> the Supreme Court held that</w:t>
      </w:r>
      <w:r w:rsidR="00663C64">
        <w:rPr>
          <w:rFonts w:ascii="Times New Roman" w:hAnsi="Times New Roman" w:cs="Times New Roman"/>
          <w:sz w:val="26"/>
          <w:szCs w:val="26"/>
        </w:rPr>
        <w:t xml:space="preserve"> hundreds</w:t>
      </w:r>
      <w:r w:rsidRPr="00FC2C06">
        <w:rPr>
          <w:rFonts w:ascii="Times New Roman" w:hAnsi="Times New Roman" w:cs="Times New Roman"/>
          <w:sz w:val="26"/>
          <w:szCs w:val="26"/>
        </w:rPr>
        <w:t xml:space="preserve"> of legislative veto provisions </w:t>
      </w:r>
      <w:r w:rsidR="00663C64">
        <w:rPr>
          <w:rFonts w:ascii="Times New Roman" w:hAnsi="Times New Roman" w:cs="Times New Roman"/>
          <w:sz w:val="26"/>
          <w:szCs w:val="26"/>
        </w:rPr>
        <w:t xml:space="preserve">were </w:t>
      </w:r>
      <w:r w:rsidRPr="00FC2C06">
        <w:rPr>
          <w:rFonts w:ascii="Times New Roman" w:hAnsi="Times New Roman" w:cs="Times New Roman"/>
          <w:sz w:val="26"/>
          <w:szCs w:val="26"/>
        </w:rPr>
        <w:t>unconstitutional.   The Court noted that its “inquiry is sharpened rather than blunted by the fact that congressional veto provisions are apparently increasing in frequency.” In that case the Court expressly noted that such veto devi</w:t>
      </w:r>
      <w:r w:rsidR="00663C64">
        <w:rPr>
          <w:rFonts w:ascii="Times New Roman" w:hAnsi="Times New Roman" w:cs="Times New Roman"/>
          <w:sz w:val="26"/>
          <w:szCs w:val="26"/>
        </w:rPr>
        <w:t>c</w:t>
      </w:r>
      <w:r w:rsidRPr="00FC2C06">
        <w:rPr>
          <w:rFonts w:ascii="Times New Roman" w:hAnsi="Times New Roman" w:cs="Times New Roman"/>
          <w:sz w:val="26"/>
          <w:szCs w:val="26"/>
        </w:rPr>
        <w:t xml:space="preserve">es first appeared in 1932, </w:t>
      </w:r>
      <w:r w:rsidR="008611CE">
        <w:rPr>
          <w:rFonts w:ascii="Times New Roman" w:hAnsi="Times New Roman" w:cs="Times New Roman"/>
          <w:sz w:val="26"/>
          <w:szCs w:val="26"/>
        </w:rPr>
        <w:t xml:space="preserve">only </w:t>
      </w:r>
      <w:r w:rsidRPr="00FC2C06">
        <w:rPr>
          <w:rFonts w:ascii="Times New Roman" w:hAnsi="Times New Roman" w:cs="Times New Roman"/>
          <w:sz w:val="26"/>
          <w:szCs w:val="26"/>
        </w:rPr>
        <w:t xml:space="preserve">50 years before its ruling, and slowly increased in </w:t>
      </w:r>
      <w:proofErr w:type="gramStart"/>
      <w:r w:rsidRPr="00FC2C06">
        <w:rPr>
          <w:rFonts w:ascii="Times New Roman" w:hAnsi="Times New Roman" w:cs="Times New Roman"/>
          <w:sz w:val="26"/>
          <w:szCs w:val="26"/>
        </w:rPr>
        <w:t>usage  from</w:t>
      </w:r>
      <w:proofErr w:type="gramEnd"/>
      <w:r w:rsidRPr="00FC2C06">
        <w:rPr>
          <w:rFonts w:ascii="Times New Roman" w:hAnsi="Times New Roman" w:cs="Times New Roman"/>
          <w:sz w:val="26"/>
          <w:szCs w:val="26"/>
        </w:rPr>
        <w:t xml:space="preserve"> five such provisions in the period 1932 t</w:t>
      </w:r>
      <w:r w:rsidR="00663C64">
        <w:rPr>
          <w:rFonts w:ascii="Times New Roman" w:hAnsi="Times New Roman" w:cs="Times New Roman"/>
          <w:sz w:val="26"/>
          <w:szCs w:val="26"/>
        </w:rPr>
        <w:t>o</w:t>
      </w:r>
      <w:r w:rsidRPr="00FC2C06">
        <w:rPr>
          <w:rFonts w:ascii="Times New Roman" w:hAnsi="Times New Roman" w:cs="Times New Roman"/>
          <w:sz w:val="26"/>
          <w:szCs w:val="26"/>
        </w:rPr>
        <w:t xml:space="preserve"> 1939 to 34 between 1950 to 1959, and then </w:t>
      </w:r>
      <w:r w:rsidR="00663C64">
        <w:rPr>
          <w:rFonts w:ascii="Times New Roman" w:hAnsi="Times New Roman" w:cs="Times New Roman"/>
          <w:sz w:val="26"/>
          <w:szCs w:val="26"/>
        </w:rPr>
        <w:t xml:space="preserve">increased </w:t>
      </w:r>
      <w:r w:rsidRPr="00FC2C06">
        <w:rPr>
          <w:rFonts w:ascii="Times New Roman" w:hAnsi="Times New Roman" w:cs="Times New Roman"/>
          <w:sz w:val="26"/>
          <w:szCs w:val="26"/>
        </w:rPr>
        <w:t>to 163 such provisions in 89 laws between 1970 to 1975, the last period of statistics available to it.</w:t>
      </w:r>
      <w:r w:rsidRPr="00FC2C06">
        <w:rPr>
          <w:rStyle w:val="FootnoteReference"/>
          <w:rFonts w:ascii="Times New Roman" w:hAnsi="Times New Roman" w:cs="Times New Roman"/>
          <w:sz w:val="26"/>
          <w:szCs w:val="26"/>
        </w:rPr>
        <w:footnoteReference w:id="103"/>
      </w:r>
      <w:r w:rsidRPr="00FC2C06">
        <w:rPr>
          <w:rFonts w:ascii="Times New Roman" w:hAnsi="Times New Roman" w:cs="Times New Roman"/>
          <w:sz w:val="26"/>
          <w:szCs w:val="26"/>
        </w:rPr>
        <w:t xml:space="preserve"> This applies forcefully in the context of the current intrasession appointments controversy, which ha</w:t>
      </w:r>
      <w:r w:rsidR="00663C64">
        <w:rPr>
          <w:rFonts w:ascii="Times New Roman" w:hAnsi="Times New Roman" w:cs="Times New Roman"/>
          <w:sz w:val="26"/>
          <w:szCs w:val="26"/>
        </w:rPr>
        <w:t>s</w:t>
      </w:r>
      <w:r w:rsidRPr="00FC2C06">
        <w:rPr>
          <w:rFonts w:ascii="Times New Roman" w:hAnsi="Times New Roman" w:cs="Times New Roman"/>
          <w:sz w:val="26"/>
          <w:szCs w:val="26"/>
        </w:rPr>
        <w:t xml:space="preserve"> come to dominate the recess appointment process in the past ten years.  The </w:t>
      </w:r>
      <w:r w:rsidRPr="00FC2C06">
        <w:rPr>
          <w:rFonts w:ascii="Times New Roman" w:hAnsi="Times New Roman" w:cs="Times New Roman"/>
          <w:i/>
          <w:iCs/>
          <w:sz w:val="26"/>
          <w:szCs w:val="26"/>
        </w:rPr>
        <w:t xml:space="preserve">Chadha </w:t>
      </w:r>
      <w:r w:rsidRPr="00FC2C06">
        <w:rPr>
          <w:rFonts w:ascii="Times New Roman" w:hAnsi="Times New Roman" w:cs="Times New Roman"/>
          <w:sz w:val="26"/>
          <w:szCs w:val="26"/>
        </w:rPr>
        <w:t xml:space="preserve">Court, echoing Attorney General Knox, rejected out of hand that claims of convenience and necessity could override constitutional principles.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inconsistent Attorney General and OLC views of the recess appointments power demonstrates the risk of constitutional interpretations that may be tainted by institutional self interest.  As it has become apparent, attempts to establish minimum required length of an intrasession are unworkable in light of Congress’s contemporary scheduling patterns.  The OLC now seeks to advance an interpretation of the Recess Clause that </w:t>
      </w:r>
      <w:proofErr w:type="gramStart"/>
      <w:r w:rsidRPr="00FC2C06">
        <w:rPr>
          <w:rFonts w:ascii="Times New Roman" w:hAnsi="Times New Roman" w:cs="Times New Roman"/>
          <w:sz w:val="26"/>
          <w:szCs w:val="26"/>
        </w:rPr>
        <w:t>would  debase</w:t>
      </w:r>
      <w:proofErr w:type="gramEnd"/>
      <w:r w:rsidRPr="00FC2C06">
        <w:rPr>
          <w:rFonts w:ascii="Times New Roman" w:hAnsi="Times New Roman" w:cs="Times New Roman"/>
          <w:sz w:val="26"/>
          <w:szCs w:val="26"/>
        </w:rPr>
        <w:t xml:space="preserve"> the role of the Senate in the appointments process.  Under the OLC opinion, the President alone would be able to declare the Senate “unavailable,” thus permitting an appointment without Senate consent. The central </w:t>
      </w:r>
      <w:proofErr w:type="gramStart"/>
      <w:r w:rsidRPr="00FC2C06">
        <w:rPr>
          <w:rFonts w:ascii="Times New Roman" w:hAnsi="Times New Roman" w:cs="Times New Roman"/>
          <w:sz w:val="26"/>
          <w:szCs w:val="26"/>
        </w:rPr>
        <w:t>decision  the</w:t>
      </w:r>
      <w:proofErr w:type="gramEnd"/>
      <w:r w:rsidRPr="00FC2C06">
        <w:rPr>
          <w:rFonts w:ascii="Times New Roman" w:hAnsi="Times New Roman" w:cs="Times New Roman"/>
          <w:sz w:val="26"/>
          <w:szCs w:val="26"/>
        </w:rPr>
        <w:t xml:space="preserve"> Framers made, that the appointment process should require action by two branches of the Government, and should not be conferred on the President alone, would be eviscerated.  Whatever deference the courts in the past may have given to consistent and well-reasoned Attorney General or OLC opinions</w:t>
      </w:r>
      <w:proofErr w:type="gramStart"/>
      <w:r w:rsidRPr="00FC2C06">
        <w:rPr>
          <w:rFonts w:ascii="Times New Roman" w:hAnsi="Times New Roman" w:cs="Times New Roman"/>
          <w:sz w:val="26"/>
          <w:szCs w:val="26"/>
        </w:rPr>
        <w:t>,  the</w:t>
      </w:r>
      <w:proofErr w:type="gramEnd"/>
      <w:r w:rsidRPr="00FC2C06">
        <w:rPr>
          <w:rFonts w:ascii="Times New Roman" w:hAnsi="Times New Roman" w:cs="Times New Roman"/>
          <w:sz w:val="26"/>
          <w:szCs w:val="26"/>
        </w:rPr>
        <w:t xml:space="preserve"> “checkered background” </w:t>
      </w:r>
      <w:r w:rsidRPr="00FC2C06">
        <w:rPr>
          <w:rStyle w:val="FootnoteReference"/>
          <w:rFonts w:ascii="Times New Roman" w:hAnsi="Times New Roman" w:cs="Times New Roman"/>
          <w:sz w:val="26"/>
          <w:szCs w:val="26"/>
        </w:rPr>
        <w:footnoteReference w:id="104"/>
      </w:r>
      <w:r w:rsidRPr="00FC2C06">
        <w:rPr>
          <w:rFonts w:ascii="Times New Roman" w:hAnsi="Times New Roman" w:cs="Times New Roman"/>
          <w:sz w:val="26"/>
          <w:szCs w:val="26"/>
        </w:rPr>
        <w:t xml:space="preserve"> of the Executive’s views could well leave a reviewing court with the view that these opinions do not rest on any constitutional principle and are not entitled to judicial deference on the important constitutional issue raised in this case.</w:t>
      </w:r>
    </w:p>
    <w:p w:rsidR="00E7229A" w:rsidRPr="00FC2C06" w:rsidRDefault="00E7229A" w:rsidP="00D067DB">
      <w:pPr>
        <w:spacing w:after="0" w:line="240" w:lineRule="auto"/>
        <w:rPr>
          <w:rFonts w:ascii="Times New Roman" w:hAnsi="Times New Roman" w:cs="Times New Roman"/>
          <w:sz w:val="26"/>
          <w:szCs w:val="26"/>
        </w:rPr>
      </w:pPr>
    </w:p>
    <w:p w:rsidR="00E7229A" w:rsidRDefault="00E7229A" w:rsidP="00426F64">
      <w:pPr>
        <w:spacing w:after="0" w:line="240" w:lineRule="auto"/>
        <w:ind w:left="720" w:hanging="720"/>
        <w:rPr>
          <w:rFonts w:ascii="Times New Roman" w:hAnsi="Times New Roman" w:cs="Times New Roman"/>
          <w:sz w:val="26"/>
          <w:szCs w:val="26"/>
          <w:u w:val="single"/>
        </w:rPr>
      </w:pPr>
      <w:r w:rsidRPr="00FC2C06">
        <w:rPr>
          <w:rFonts w:ascii="Times New Roman" w:hAnsi="Times New Roman" w:cs="Times New Roman"/>
          <w:sz w:val="26"/>
          <w:szCs w:val="26"/>
        </w:rPr>
        <w:t>V.</w:t>
      </w:r>
      <w:r w:rsidRPr="00FC2C06">
        <w:rPr>
          <w:rFonts w:ascii="Times New Roman" w:hAnsi="Times New Roman" w:cs="Times New Roman"/>
          <w:sz w:val="26"/>
          <w:szCs w:val="26"/>
        </w:rPr>
        <w:tab/>
      </w:r>
      <w:r>
        <w:rPr>
          <w:rFonts w:ascii="Times New Roman" w:hAnsi="Times New Roman" w:cs="Times New Roman"/>
          <w:sz w:val="26"/>
          <w:szCs w:val="26"/>
          <w:u w:val="single"/>
        </w:rPr>
        <w:t>Congress Has Never Acquiesced to the Validity of Intrasession Recess Appointments</w:t>
      </w:r>
    </w:p>
    <w:p w:rsidR="00A94E02" w:rsidRDefault="00A94E02" w:rsidP="00426F64">
      <w:pPr>
        <w:spacing w:after="0" w:line="240" w:lineRule="auto"/>
        <w:ind w:left="720" w:hanging="720"/>
        <w:rPr>
          <w:rFonts w:ascii="Times New Roman" w:hAnsi="Times New Roman" w:cs="Times New Roman"/>
          <w:sz w:val="26"/>
          <w:szCs w:val="26"/>
          <w:u w:val="single"/>
        </w:rPr>
      </w:pPr>
    </w:p>
    <w:p w:rsidR="00C75230" w:rsidRPr="004A377B" w:rsidRDefault="00335CF2" w:rsidP="00426F64">
      <w:pPr>
        <w:spacing w:after="0" w:line="240" w:lineRule="auto"/>
        <w:ind w:left="720" w:hanging="720"/>
        <w:rPr>
          <w:rFonts w:ascii="Times New Roman" w:hAnsi="Times New Roman" w:cs="Times New Roman"/>
          <w:sz w:val="26"/>
          <w:szCs w:val="26"/>
        </w:rPr>
      </w:pPr>
      <w:r w:rsidRPr="004A377B">
        <w:rPr>
          <w:rFonts w:ascii="Times New Roman" w:hAnsi="Times New Roman" w:cs="Times New Roman"/>
          <w:sz w:val="26"/>
          <w:szCs w:val="26"/>
        </w:rPr>
        <w:tab/>
        <w:t xml:space="preserve">The OLC Opinion </w:t>
      </w:r>
      <w:proofErr w:type="gramStart"/>
      <w:r w:rsidRPr="004A377B">
        <w:rPr>
          <w:rFonts w:ascii="Times New Roman" w:hAnsi="Times New Roman" w:cs="Times New Roman"/>
          <w:sz w:val="26"/>
          <w:szCs w:val="26"/>
        </w:rPr>
        <w:t>effectively  claims</w:t>
      </w:r>
      <w:proofErr w:type="gramEnd"/>
      <w:r w:rsidRPr="004A377B">
        <w:rPr>
          <w:rFonts w:ascii="Times New Roman" w:hAnsi="Times New Roman" w:cs="Times New Roman"/>
          <w:sz w:val="26"/>
          <w:szCs w:val="26"/>
        </w:rPr>
        <w:t xml:space="preserve"> that Congress, as an institution, has not </w:t>
      </w:r>
    </w:p>
    <w:p w:rsidR="00C75230" w:rsidRPr="004A377B" w:rsidRDefault="00335CF2" w:rsidP="00426F64">
      <w:pPr>
        <w:spacing w:after="0" w:line="240" w:lineRule="auto"/>
        <w:ind w:left="720" w:hanging="720"/>
        <w:rPr>
          <w:rFonts w:ascii="Times New Roman" w:hAnsi="Times New Roman" w:cs="Times New Roman"/>
          <w:sz w:val="26"/>
          <w:szCs w:val="26"/>
        </w:rPr>
      </w:pPr>
      <w:proofErr w:type="gramStart"/>
      <w:r w:rsidRPr="004A377B">
        <w:rPr>
          <w:rFonts w:ascii="Times New Roman" w:hAnsi="Times New Roman" w:cs="Times New Roman"/>
          <w:sz w:val="26"/>
          <w:szCs w:val="26"/>
        </w:rPr>
        <w:t>challenged</w:t>
      </w:r>
      <w:proofErr w:type="gramEnd"/>
      <w:r w:rsidRPr="004A377B">
        <w:rPr>
          <w:rFonts w:ascii="Times New Roman" w:hAnsi="Times New Roman" w:cs="Times New Roman"/>
          <w:sz w:val="26"/>
          <w:szCs w:val="26"/>
        </w:rPr>
        <w:t xml:space="preserve"> the validity of intra</w:t>
      </w:r>
      <w:r w:rsidR="008C3E38">
        <w:rPr>
          <w:rFonts w:ascii="Times New Roman" w:hAnsi="Times New Roman" w:cs="Times New Roman"/>
          <w:sz w:val="26"/>
          <w:szCs w:val="26"/>
        </w:rPr>
        <w:t>s</w:t>
      </w:r>
      <w:r w:rsidRPr="004A377B">
        <w:rPr>
          <w:rFonts w:ascii="Times New Roman" w:hAnsi="Times New Roman" w:cs="Times New Roman"/>
          <w:sz w:val="26"/>
          <w:szCs w:val="26"/>
        </w:rPr>
        <w:t xml:space="preserve">ession recess appointments since the 1921 Daugherty </w:t>
      </w:r>
    </w:p>
    <w:p w:rsidR="00FB7029" w:rsidRPr="004A377B" w:rsidRDefault="00335CF2" w:rsidP="00426F64">
      <w:pPr>
        <w:spacing w:after="0" w:line="240" w:lineRule="auto"/>
        <w:ind w:left="720" w:hanging="720"/>
        <w:rPr>
          <w:rFonts w:ascii="Times New Roman" w:hAnsi="Times New Roman" w:cs="Times New Roman"/>
          <w:sz w:val="26"/>
          <w:szCs w:val="26"/>
        </w:rPr>
      </w:pPr>
      <w:proofErr w:type="gramStart"/>
      <w:r w:rsidRPr="004A377B">
        <w:rPr>
          <w:rFonts w:ascii="Times New Roman" w:hAnsi="Times New Roman" w:cs="Times New Roman"/>
          <w:sz w:val="26"/>
          <w:szCs w:val="26"/>
        </w:rPr>
        <w:t>opinion</w:t>
      </w:r>
      <w:proofErr w:type="gramEnd"/>
      <w:r w:rsidRPr="004A377B">
        <w:rPr>
          <w:rFonts w:ascii="Times New Roman" w:hAnsi="Times New Roman" w:cs="Times New Roman"/>
          <w:sz w:val="26"/>
          <w:szCs w:val="26"/>
        </w:rPr>
        <w:t xml:space="preserve"> and thus has acquiesced in the now established practice. To the contrary, </w:t>
      </w:r>
    </w:p>
    <w:p w:rsidR="00DD5FAE" w:rsidRPr="004A377B" w:rsidRDefault="00335CF2" w:rsidP="004A377B">
      <w:pPr>
        <w:spacing w:after="0" w:line="240" w:lineRule="auto"/>
        <w:rPr>
          <w:rFonts w:ascii="Times New Roman" w:hAnsi="Times New Roman" w:cs="Times New Roman"/>
          <w:sz w:val="26"/>
          <w:szCs w:val="26"/>
        </w:rPr>
      </w:pPr>
      <w:r w:rsidRPr="004A377B">
        <w:rPr>
          <w:rFonts w:ascii="Times New Roman" w:hAnsi="Times New Roman" w:cs="Times New Roman"/>
          <w:sz w:val="26"/>
          <w:szCs w:val="26"/>
        </w:rPr>
        <w:lastRenderedPageBreak/>
        <w:t>Congress, since the founding</w:t>
      </w:r>
      <w:r w:rsidR="00834F4A">
        <w:rPr>
          <w:rFonts w:ascii="Times New Roman" w:hAnsi="Times New Roman" w:cs="Times New Roman"/>
          <w:sz w:val="26"/>
          <w:szCs w:val="26"/>
        </w:rPr>
        <w:t xml:space="preserve"> of the country</w:t>
      </w:r>
      <w:r w:rsidRPr="004A377B">
        <w:rPr>
          <w:rFonts w:ascii="Times New Roman" w:hAnsi="Times New Roman" w:cs="Times New Roman"/>
          <w:sz w:val="26"/>
          <w:szCs w:val="26"/>
        </w:rPr>
        <w:t xml:space="preserve">, has taken strong and consistent measures to </w:t>
      </w:r>
      <w:r w:rsidR="00834F4A">
        <w:rPr>
          <w:rFonts w:ascii="Times New Roman" w:hAnsi="Times New Roman" w:cs="Times New Roman"/>
          <w:sz w:val="26"/>
          <w:szCs w:val="26"/>
        </w:rPr>
        <w:t>p</w:t>
      </w:r>
      <w:r w:rsidRPr="004A377B">
        <w:rPr>
          <w:rFonts w:ascii="Times New Roman" w:hAnsi="Times New Roman" w:cs="Times New Roman"/>
          <w:sz w:val="26"/>
          <w:szCs w:val="26"/>
        </w:rPr>
        <w:t>rotect the</w:t>
      </w:r>
      <w:r w:rsidR="00834F4A">
        <w:rPr>
          <w:rFonts w:ascii="Times New Roman" w:hAnsi="Times New Roman" w:cs="Times New Roman"/>
          <w:sz w:val="26"/>
          <w:szCs w:val="26"/>
        </w:rPr>
        <w:t xml:space="preserve"> </w:t>
      </w:r>
      <w:r w:rsidRPr="004A377B">
        <w:rPr>
          <w:rFonts w:ascii="Times New Roman" w:hAnsi="Times New Roman" w:cs="Times New Roman"/>
          <w:sz w:val="26"/>
          <w:szCs w:val="26"/>
        </w:rPr>
        <w:t xml:space="preserve">Senate’s prerogatives. </w:t>
      </w:r>
      <w:r w:rsidR="00834F4A">
        <w:rPr>
          <w:rFonts w:ascii="Times New Roman" w:hAnsi="Times New Roman" w:cs="Times New Roman"/>
          <w:sz w:val="26"/>
          <w:szCs w:val="26"/>
        </w:rPr>
        <w:t xml:space="preserve"> The use of p</w:t>
      </w:r>
      <w:r w:rsidRPr="004A377B">
        <w:rPr>
          <w:rFonts w:ascii="Times New Roman" w:hAnsi="Times New Roman" w:cs="Times New Roman"/>
          <w:sz w:val="26"/>
          <w:szCs w:val="26"/>
        </w:rPr>
        <w:t xml:space="preserve">ro forma </w:t>
      </w:r>
      <w:r w:rsidR="00834F4A">
        <w:rPr>
          <w:rFonts w:ascii="Times New Roman" w:hAnsi="Times New Roman" w:cs="Times New Roman"/>
          <w:sz w:val="26"/>
          <w:szCs w:val="26"/>
        </w:rPr>
        <w:t xml:space="preserve">sessions </w:t>
      </w:r>
      <w:r w:rsidRPr="004A377B">
        <w:rPr>
          <w:rFonts w:ascii="Times New Roman" w:hAnsi="Times New Roman" w:cs="Times New Roman"/>
          <w:sz w:val="26"/>
          <w:szCs w:val="26"/>
        </w:rPr>
        <w:t>is simply the latest protective act i</w:t>
      </w:r>
      <w:r w:rsidR="00834F4A">
        <w:rPr>
          <w:rFonts w:ascii="Times New Roman" w:hAnsi="Times New Roman" w:cs="Times New Roman"/>
          <w:sz w:val="26"/>
          <w:szCs w:val="26"/>
        </w:rPr>
        <w:t>n its arsenal, and it is</w:t>
      </w:r>
      <w:r w:rsidRPr="004A377B">
        <w:rPr>
          <w:rFonts w:ascii="Times New Roman" w:hAnsi="Times New Roman" w:cs="Times New Roman"/>
          <w:sz w:val="26"/>
          <w:szCs w:val="26"/>
        </w:rPr>
        <w:t xml:space="preserve"> an appropriate, as well as lawful, response to the most extreme Executive usurpation ever. </w:t>
      </w:r>
    </w:p>
    <w:p w:rsidR="00E7229A" w:rsidRDefault="00E7229A" w:rsidP="00426F64">
      <w:pPr>
        <w:spacing w:after="0" w:line="240" w:lineRule="auto"/>
        <w:ind w:left="720" w:hanging="720"/>
        <w:rPr>
          <w:rFonts w:ascii="Times New Roman" w:hAnsi="Times New Roman" w:cs="Times New Roman"/>
          <w:sz w:val="26"/>
          <w:szCs w:val="26"/>
          <w:u w:val="single"/>
        </w:rPr>
      </w:pPr>
    </w:p>
    <w:p w:rsidR="007663E7" w:rsidRDefault="007663E7" w:rsidP="004017FF">
      <w:pPr>
        <w:pStyle w:val="ListParagraph"/>
        <w:numPr>
          <w:ilvl w:val="0"/>
          <w:numId w:val="15"/>
        </w:numPr>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The </w:t>
      </w:r>
      <w:r w:rsidR="006E6E0D">
        <w:rPr>
          <w:rFonts w:ascii="Times New Roman" w:hAnsi="Times New Roman" w:cs="Times New Roman"/>
          <w:sz w:val="26"/>
          <w:szCs w:val="26"/>
          <w:u w:val="single"/>
        </w:rPr>
        <w:t>V</w:t>
      </w:r>
      <w:r>
        <w:rPr>
          <w:rFonts w:ascii="Times New Roman" w:hAnsi="Times New Roman" w:cs="Times New Roman"/>
          <w:sz w:val="26"/>
          <w:szCs w:val="26"/>
          <w:u w:val="single"/>
        </w:rPr>
        <w:t>acancies Acts</w:t>
      </w:r>
    </w:p>
    <w:p w:rsidR="00DD5FAE" w:rsidRDefault="00DD5FAE" w:rsidP="004A377B">
      <w:pPr>
        <w:pStyle w:val="ListParagraph"/>
        <w:spacing w:after="0" w:line="240" w:lineRule="auto"/>
        <w:ind w:left="1080"/>
        <w:rPr>
          <w:rFonts w:ascii="Times New Roman" w:hAnsi="Times New Roman" w:cs="Times New Roman"/>
          <w:sz w:val="26"/>
          <w:szCs w:val="26"/>
          <w:u w:val="single"/>
        </w:rPr>
      </w:pPr>
    </w:p>
    <w:p w:rsidR="00552F93" w:rsidRDefault="00E7229A">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Congress has long been concerned about presidential usurpation of the Senate’s confirmation power through temporary appointments</w:t>
      </w:r>
      <w:r w:rsidR="00A16407">
        <w:rPr>
          <w:rFonts w:ascii="Times New Roman" w:hAnsi="Times New Roman" w:cs="Times New Roman"/>
          <w:sz w:val="26"/>
          <w:szCs w:val="26"/>
        </w:rPr>
        <w:t xml:space="preserve"> that </w:t>
      </w:r>
      <w:r w:rsidR="00082618">
        <w:rPr>
          <w:rFonts w:ascii="Times New Roman" w:hAnsi="Times New Roman" w:cs="Times New Roman"/>
          <w:sz w:val="26"/>
          <w:szCs w:val="26"/>
        </w:rPr>
        <w:t>are made without Senate confirmation</w:t>
      </w:r>
      <w:r w:rsidRPr="00FC2C06">
        <w:rPr>
          <w:rFonts w:ascii="Times New Roman" w:hAnsi="Times New Roman" w:cs="Times New Roman"/>
          <w:sz w:val="26"/>
          <w:szCs w:val="26"/>
        </w:rPr>
        <w:t xml:space="preserve">.  In 1795 Congress passed a law limiting </w:t>
      </w:r>
      <w:r w:rsidR="00C000C7">
        <w:rPr>
          <w:rFonts w:ascii="Times New Roman" w:hAnsi="Times New Roman" w:cs="Times New Roman"/>
          <w:sz w:val="26"/>
          <w:szCs w:val="26"/>
        </w:rPr>
        <w:t xml:space="preserve">to six months </w:t>
      </w:r>
      <w:r w:rsidRPr="00FC2C06">
        <w:rPr>
          <w:rFonts w:ascii="Times New Roman" w:hAnsi="Times New Roman" w:cs="Times New Roman"/>
          <w:sz w:val="26"/>
          <w:szCs w:val="26"/>
        </w:rPr>
        <w:t>the time a temporary assignee could hold</w:t>
      </w:r>
      <w:r w:rsidR="00C000C7">
        <w:rPr>
          <w:rFonts w:ascii="Times New Roman" w:hAnsi="Times New Roman" w:cs="Times New Roman"/>
          <w:sz w:val="26"/>
          <w:szCs w:val="26"/>
        </w:rPr>
        <w:t xml:space="preserve"> an office </w:t>
      </w:r>
      <w:proofErr w:type="gramStart"/>
      <w:r w:rsidR="00C000C7">
        <w:rPr>
          <w:rFonts w:ascii="Times New Roman" w:hAnsi="Times New Roman" w:cs="Times New Roman"/>
          <w:sz w:val="26"/>
          <w:szCs w:val="26"/>
        </w:rPr>
        <w:t>as an “</w:t>
      </w:r>
      <w:proofErr w:type="gramEnd"/>
      <w:r w:rsidR="00C000C7">
        <w:rPr>
          <w:rFonts w:ascii="Times New Roman" w:hAnsi="Times New Roman" w:cs="Times New Roman"/>
          <w:sz w:val="26"/>
          <w:szCs w:val="26"/>
        </w:rPr>
        <w:t>acting” official.</w:t>
      </w:r>
      <w:r w:rsidRPr="00FC2C06">
        <w:rPr>
          <w:rStyle w:val="FootnoteReference"/>
          <w:rFonts w:ascii="Times New Roman" w:hAnsi="Times New Roman" w:cs="Times New Roman"/>
          <w:sz w:val="26"/>
          <w:szCs w:val="26"/>
        </w:rPr>
        <w:footnoteReference w:id="105"/>
      </w:r>
      <w:r w:rsidRPr="00FC2C06">
        <w:rPr>
          <w:rFonts w:ascii="Times New Roman" w:hAnsi="Times New Roman" w:cs="Times New Roman"/>
          <w:sz w:val="26"/>
          <w:szCs w:val="26"/>
        </w:rPr>
        <w:t xml:space="preserve"> </w:t>
      </w:r>
      <w:r w:rsidR="000A713B">
        <w:rPr>
          <w:rFonts w:ascii="Times New Roman" w:hAnsi="Times New Roman" w:cs="Times New Roman"/>
          <w:sz w:val="26"/>
          <w:szCs w:val="26"/>
        </w:rPr>
        <w:t xml:space="preserve"> In 1868 Congress passed the</w:t>
      </w:r>
      <w:r w:rsidR="007663E7">
        <w:rPr>
          <w:rFonts w:ascii="Times New Roman" w:hAnsi="Times New Roman" w:cs="Times New Roman"/>
          <w:sz w:val="26"/>
          <w:szCs w:val="26"/>
        </w:rPr>
        <w:t xml:space="preserve"> first comprehensive vacanc</w:t>
      </w:r>
      <w:r w:rsidR="00552F93">
        <w:rPr>
          <w:rFonts w:ascii="Times New Roman" w:hAnsi="Times New Roman" w:cs="Times New Roman"/>
          <w:sz w:val="26"/>
          <w:szCs w:val="26"/>
        </w:rPr>
        <w:t>ies</w:t>
      </w:r>
      <w:r w:rsidR="007663E7">
        <w:rPr>
          <w:rFonts w:ascii="Times New Roman" w:hAnsi="Times New Roman" w:cs="Times New Roman"/>
          <w:sz w:val="26"/>
          <w:szCs w:val="26"/>
        </w:rPr>
        <w:t xml:space="preserve"> act</w:t>
      </w:r>
      <w:r w:rsidR="000A713B">
        <w:rPr>
          <w:rFonts w:ascii="Times New Roman" w:hAnsi="Times New Roman" w:cs="Times New Roman"/>
          <w:sz w:val="26"/>
          <w:szCs w:val="26"/>
        </w:rPr>
        <w:t xml:space="preserve"> </w:t>
      </w:r>
      <w:r w:rsidR="00C000C7">
        <w:rPr>
          <w:rFonts w:ascii="Times New Roman" w:hAnsi="Times New Roman" w:cs="Times New Roman"/>
          <w:sz w:val="26"/>
          <w:szCs w:val="26"/>
        </w:rPr>
        <w:t>restricting the use of acting officials when an incumbent dies or becomes disabled in office.</w:t>
      </w:r>
      <w:r w:rsidR="009B72C9">
        <w:rPr>
          <w:rStyle w:val="FootnoteReference"/>
          <w:rFonts w:ascii="Times New Roman" w:hAnsi="Times New Roman" w:cs="Times New Roman"/>
          <w:sz w:val="26"/>
          <w:szCs w:val="26"/>
        </w:rPr>
        <w:footnoteReference w:id="106"/>
      </w:r>
      <w:r w:rsidR="00C000C7">
        <w:rPr>
          <w:rFonts w:ascii="Times New Roman" w:hAnsi="Times New Roman" w:cs="Times New Roman"/>
          <w:sz w:val="26"/>
          <w:szCs w:val="26"/>
        </w:rPr>
        <w:t xml:space="preserve">  The </w:t>
      </w:r>
      <w:r w:rsidR="00AF73BE">
        <w:rPr>
          <w:rFonts w:ascii="Times New Roman" w:hAnsi="Times New Roman" w:cs="Times New Roman"/>
          <w:sz w:val="26"/>
          <w:szCs w:val="26"/>
        </w:rPr>
        <w:t xml:space="preserve">clear </w:t>
      </w:r>
      <w:r w:rsidR="00C000C7">
        <w:rPr>
          <w:rFonts w:ascii="Times New Roman" w:hAnsi="Times New Roman" w:cs="Times New Roman"/>
          <w:sz w:val="26"/>
          <w:szCs w:val="26"/>
        </w:rPr>
        <w:t xml:space="preserve">intent of this legislation was to </w:t>
      </w:r>
      <w:r w:rsidR="009B72C9">
        <w:rPr>
          <w:rFonts w:ascii="Times New Roman" w:hAnsi="Times New Roman" w:cs="Times New Roman"/>
          <w:sz w:val="26"/>
          <w:szCs w:val="26"/>
        </w:rPr>
        <w:t>prevent the President from delaying sending forth nominations for advice and consent positions</w:t>
      </w:r>
      <w:r w:rsidR="00CF5530">
        <w:rPr>
          <w:rFonts w:ascii="Times New Roman" w:hAnsi="Times New Roman" w:cs="Times New Roman"/>
          <w:sz w:val="26"/>
          <w:szCs w:val="26"/>
        </w:rPr>
        <w:t xml:space="preserve"> w</w:t>
      </w:r>
      <w:r w:rsidR="009B72C9">
        <w:rPr>
          <w:rFonts w:ascii="Times New Roman" w:hAnsi="Times New Roman" w:cs="Times New Roman"/>
          <w:sz w:val="26"/>
          <w:szCs w:val="26"/>
        </w:rPr>
        <w:t>hich could thereby evade the Senates confirmation prerogative, and to provide the exclusive means for tempo</w:t>
      </w:r>
      <w:r w:rsidR="00CF1755">
        <w:rPr>
          <w:rFonts w:ascii="Times New Roman" w:hAnsi="Times New Roman" w:cs="Times New Roman"/>
          <w:sz w:val="26"/>
          <w:szCs w:val="26"/>
        </w:rPr>
        <w:t>r</w:t>
      </w:r>
      <w:r w:rsidR="009B72C9">
        <w:rPr>
          <w:rFonts w:ascii="Times New Roman" w:hAnsi="Times New Roman" w:cs="Times New Roman"/>
          <w:sz w:val="26"/>
          <w:szCs w:val="26"/>
        </w:rPr>
        <w:t>ari</w:t>
      </w:r>
      <w:r w:rsidR="00CF1755">
        <w:rPr>
          <w:rFonts w:ascii="Times New Roman" w:hAnsi="Times New Roman" w:cs="Times New Roman"/>
          <w:sz w:val="26"/>
          <w:szCs w:val="26"/>
        </w:rPr>
        <w:t>ly filling vacancies in covered positions unless Congress explicitly provided a superseding mechanism.</w:t>
      </w:r>
      <w:r w:rsidR="006F10FE">
        <w:rPr>
          <w:rStyle w:val="FootnoteReference"/>
          <w:rFonts w:ascii="Times New Roman" w:hAnsi="Times New Roman" w:cs="Times New Roman"/>
          <w:sz w:val="26"/>
          <w:szCs w:val="26"/>
        </w:rPr>
        <w:footnoteReference w:id="107"/>
      </w:r>
      <w:r w:rsidR="00CE1C71">
        <w:rPr>
          <w:rFonts w:ascii="Times New Roman" w:hAnsi="Times New Roman" w:cs="Times New Roman"/>
          <w:sz w:val="26"/>
          <w:szCs w:val="26"/>
        </w:rPr>
        <w:t xml:space="preserve"> </w:t>
      </w:r>
      <w:r w:rsidR="0012569A">
        <w:rPr>
          <w:rFonts w:ascii="Times New Roman" w:hAnsi="Times New Roman" w:cs="Times New Roman"/>
          <w:sz w:val="26"/>
          <w:szCs w:val="26"/>
        </w:rPr>
        <w:t>That legislative action was coincident with the only presidential intrasession recess appointment in the 19</w:t>
      </w:r>
      <w:r w:rsidR="0012569A" w:rsidRPr="0012569A">
        <w:rPr>
          <w:rFonts w:ascii="Times New Roman" w:hAnsi="Times New Roman" w:cs="Times New Roman"/>
          <w:sz w:val="26"/>
          <w:szCs w:val="26"/>
          <w:vertAlign w:val="superscript"/>
        </w:rPr>
        <w:t>th</w:t>
      </w:r>
      <w:r w:rsidR="0012569A">
        <w:rPr>
          <w:rFonts w:ascii="Times New Roman" w:hAnsi="Times New Roman" w:cs="Times New Roman"/>
          <w:sz w:val="26"/>
          <w:szCs w:val="26"/>
        </w:rPr>
        <w:t xml:space="preserve"> century and followed passage of legislation </w:t>
      </w:r>
      <w:r w:rsidR="00552F93">
        <w:rPr>
          <w:rFonts w:ascii="Times New Roman" w:hAnsi="Times New Roman" w:cs="Times New Roman"/>
          <w:sz w:val="26"/>
          <w:szCs w:val="26"/>
        </w:rPr>
        <w:t xml:space="preserve">in 1863, discussed below, </w:t>
      </w:r>
      <w:r w:rsidR="0012569A">
        <w:rPr>
          <w:rFonts w:ascii="Times New Roman" w:hAnsi="Times New Roman" w:cs="Times New Roman"/>
          <w:sz w:val="26"/>
          <w:szCs w:val="26"/>
        </w:rPr>
        <w:t>prohibiting the pay of recess appointees</w:t>
      </w:r>
      <w:r w:rsidR="00552F93">
        <w:rPr>
          <w:rFonts w:ascii="Times New Roman" w:hAnsi="Times New Roman" w:cs="Times New Roman"/>
          <w:sz w:val="26"/>
          <w:szCs w:val="26"/>
        </w:rPr>
        <w:t>, which made manifest congressional rejection of the notion of presidential authority to make such intrasession appointments.</w:t>
      </w:r>
    </w:p>
    <w:p w:rsidR="00552F93" w:rsidRDefault="00552F93">
      <w:pPr>
        <w:spacing w:after="0" w:line="240" w:lineRule="auto"/>
        <w:rPr>
          <w:rFonts w:ascii="Times New Roman" w:hAnsi="Times New Roman" w:cs="Times New Roman"/>
          <w:sz w:val="26"/>
          <w:szCs w:val="26"/>
        </w:rPr>
      </w:pPr>
    </w:p>
    <w:p w:rsidR="00ED7BDD" w:rsidRDefault="00552F93">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Only two options were available under the 1868 statute: either a first assistant or a presidential designee who had previously received Senate </w:t>
      </w:r>
      <w:proofErr w:type="gramStart"/>
      <w:r>
        <w:rPr>
          <w:rFonts w:ascii="Times New Roman" w:hAnsi="Times New Roman" w:cs="Times New Roman"/>
          <w:sz w:val="26"/>
          <w:szCs w:val="26"/>
        </w:rPr>
        <w:t>confirmation  could</w:t>
      </w:r>
      <w:proofErr w:type="gramEnd"/>
      <w:r>
        <w:rPr>
          <w:rFonts w:ascii="Times New Roman" w:hAnsi="Times New Roman" w:cs="Times New Roman"/>
          <w:sz w:val="26"/>
          <w:szCs w:val="26"/>
        </w:rPr>
        <w:t xml:space="preserve"> serve for a strictly defined and limited period. The period was originally 10 days until 1891</w:t>
      </w:r>
      <w:r w:rsidR="00335990">
        <w:rPr>
          <w:rFonts w:ascii="Times New Roman" w:hAnsi="Times New Roman" w:cs="Times New Roman"/>
          <w:sz w:val="26"/>
          <w:szCs w:val="26"/>
        </w:rPr>
        <w:t xml:space="preserve"> when it was extended to 30 days. It was lengthened again in1988 to 120 days, and in 1998 to its current limit of 210 days.</w:t>
      </w:r>
      <w:r w:rsidR="00335990">
        <w:rPr>
          <w:rStyle w:val="FootnoteReference"/>
          <w:rFonts w:ascii="Times New Roman" w:hAnsi="Times New Roman" w:cs="Times New Roman"/>
          <w:sz w:val="26"/>
          <w:szCs w:val="26"/>
        </w:rPr>
        <w:footnoteReference w:id="108"/>
      </w:r>
      <w:r>
        <w:rPr>
          <w:rFonts w:ascii="Times New Roman" w:hAnsi="Times New Roman" w:cs="Times New Roman"/>
          <w:sz w:val="26"/>
          <w:szCs w:val="26"/>
        </w:rPr>
        <w:t xml:space="preserve"> </w:t>
      </w:r>
      <w:r w:rsidR="00531A4C">
        <w:rPr>
          <w:rFonts w:ascii="Times New Roman" w:hAnsi="Times New Roman" w:cs="Times New Roman"/>
          <w:sz w:val="26"/>
          <w:szCs w:val="26"/>
        </w:rPr>
        <w:t xml:space="preserve">An unbroken line of Attorney </w:t>
      </w:r>
      <w:r w:rsidR="00F90EC1">
        <w:rPr>
          <w:rFonts w:ascii="Times New Roman" w:hAnsi="Times New Roman" w:cs="Times New Roman"/>
          <w:sz w:val="26"/>
          <w:szCs w:val="26"/>
        </w:rPr>
        <w:t>G</w:t>
      </w:r>
      <w:r w:rsidR="00531A4C">
        <w:rPr>
          <w:rFonts w:ascii="Times New Roman" w:hAnsi="Times New Roman" w:cs="Times New Roman"/>
          <w:sz w:val="26"/>
          <w:szCs w:val="26"/>
        </w:rPr>
        <w:t xml:space="preserve">eneral opinions spanning a period of over 50 years reflected the understanding that there could be only one period of occupancy per vacancy (a first assistant’s and a presidential designee’s service could not be piggy-backed) and that a pending nomination did not toll the limitation period. The Act was understood by Attorneys General to apply in this rigid manner whether </w:t>
      </w:r>
      <w:r w:rsidR="00F90EC1">
        <w:rPr>
          <w:rFonts w:ascii="Times New Roman" w:hAnsi="Times New Roman" w:cs="Times New Roman"/>
          <w:sz w:val="26"/>
          <w:szCs w:val="26"/>
        </w:rPr>
        <w:t xml:space="preserve">the </w:t>
      </w:r>
      <w:r w:rsidR="00531A4C">
        <w:rPr>
          <w:rFonts w:ascii="Times New Roman" w:hAnsi="Times New Roman" w:cs="Times New Roman"/>
          <w:sz w:val="26"/>
          <w:szCs w:val="26"/>
        </w:rPr>
        <w:t xml:space="preserve">office </w:t>
      </w:r>
      <w:r w:rsidR="00442F10">
        <w:rPr>
          <w:rFonts w:ascii="Times New Roman" w:hAnsi="Times New Roman" w:cs="Times New Roman"/>
          <w:sz w:val="26"/>
          <w:szCs w:val="26"/>
        </w:rPr>
        <w:t xml:space="preserve">involved was that of a </w:t>
      </w:r>
      <w:r w:rsidR="00531A4C">
        <w:rPr>
          <w:rFonts w:ascii="Times New Roman" w:hAnsi="Times New Roman" w:cs="Times New Roman"/>
          <w:sz w:val="26"/>
          <w:szCs w:val="26"/>
        </w:rPr>
        <w:t>bureau chief</w:t>
      </w:r>
      <w:r w:rsidR="00442F10">
        <w:rPr>
          <w:rFonts w:ascii="Times New Roman" w:hAnsi="Times New Roman" w:cs="Times New Roman"/>
          <w:sz w:val="26"/>
          <w:szCs w:val="26"/>
        </w:rPr>
        <w:t xml:space="preserve"> or the head of a department. In fact, four cabinet heads (Navy, Postmaster General, </w:t>
      </w:r>
      <w:r w:rsidR="00ED7BDD">
        <w:rPr>
          <w:rFonts w:ascii="Times New Roman" w:hAnsi="Times New Roman" w:cs="Times New Roman"/>
          <w:sz w:val="26"/>
          <w:szCs w:val="26"/>
        </w:rPr>
        <w:t>T</w:t>
      </w:r>
      <w:r w:rsidR="00442F10">
        <w:rPr>
          <w:rFonts w:ascii="Times New Roman" w:hAnsi="Times New Roman" w:cs="Times New Roman"/>
          <w:sz w:val="26"/>
          <w:szCs w:val="26"/>
        </w:rPr>
        <w:t>reasury (twice), and State) were declared vacant during this period. The only recourse of a President if the Act was unavailable was the nomination process or a recess appointment.</w:t>
      </w:r>
      <w:r w:rsidR="00442F10">
        <w:rPr>
          <w:rStyle w:val="FootnoteReference"/>
          <w:rFonts w:ascii="Times New Roman" w:hAnsi="Times New Roman" w:cs="Times New Roman"/>
          <w:sz w:val="26"/>
          <w:szCs w:val="26"/>
        </w:rPr>
        <w:footnoteReference w:id="109"/>
      </w:r>
      <w:r w:rsidR="00442F10">
        <w:rPr>
          <w:rFonts w:ascii="Times New Roman" w:hAnsi="Times New Roman" w:cs="Times New Roman"/>
          <w:sz w:val="26"/>
          <w:szCs w:val="26"/>
        </w:rPr>
        <w:t xml:space="preserve"> </w:t>
      </w:r>
      <w:r w:rsidR="00531A4C">
        <w:rPr>
          <w:rFonts w:ascii="Times New Roman" w:hAnsi="Times New Roman" w:cs="Times New Roman"/>
          <w:sz w:val="26"/>
          <w:szCs w:val="26"/>
        </w:rPr>
        <w:t xml:space="preserve"> </w:t>
      </w:r>
    </w:p>
    <w:p w:rsidR="00ED7BDD" w:rsidRDefault="00ED7BDD">
      <w:pPr>
        <w:spacing w:after="0" w:line="240" w:lineRule="auto"/>
        <w:rPr>
          <w:rFonts w:ascii="Times New Roman" w:hAnsi="Times New Roman" w:cs="Times New Roman"/>
          <w:sz w:val="26"/>
          <w:szCs w:val="26"/>
        </w:rPr>
      </w:pPr>
    </w:p>
    <w:p w:rsidR="00C638C1" w:rsidRDefault="00ED7BDD">
      <w:pPr>
        <w:spacing w:after="0" w:line="240" w:lineRule="auto"/>
        <w:rPr>
          <w:rFonts w:ascii="Times New Roman" w:hAnsi="Times New Roman" w:cs="Times New Roman"/>
          <w:sz w:val="26"/>
          <w:szCs w:val="26"/>
        </w:rPr>
      </w:pPr>
      <w:r>
        <w:rPr>
          <w:rFonts w:ascii="Times New Roman" w:hAnsi="Times New Roman" w:cs="Times New Roman"/>
          <w:sz w:val="26"/>
          <w:szCs w:val="26"/>
        </w:rPr>
        <w:tab/>
        <w:t>Continued congressional concern over presidential evasion of the Senate’s confirmation prerogative was at the heart of the enactment of the Federal Vacancies Reform Act of 1998.</w:t>
      </w:r>
      <w:r>
        <w:rPr>
          <w:rStyle w:val="FootnoteReference"/>
          <w:rFonts w:ascii="Times New Roman" w:hAnsi="Times New Roman" w:cs="Times New Roman"/>
          <w:sz w:val="26"/>
          <w:szCs w:val="26"/>
        </w:rPr>
        <w:footnoteReference w:id="110"/>
      </w:r>
      <w:r>
        <w:rPr>
          <w:rFonts w:ascii="Times New Roman" w:hAnsi="Times New Roman" w:cs="Times New Roman"/>
          <w:sz w:val="26"/>
          <w:szCs w:val="26"/>
        </w:rPr>
        <w:t xml:space="preserve"> </w:t>
      </w:r>
      <w:r w:rsidR="00F920A2">
        <w:rPr>
          <w:rFonts w:ascii="Times New Roman" w:hAnsi="Times New Roman" w:cs="Times New Roman"/>
          <w:sz w:val="26"/>
          <w:szCs w:val="26"/>
        </w:rPr>
        <w:t xml:space="preserve">The impetus for the legislative </w:t>
      </w:r>
      <w:proofErr w:type="gramStart"/>
      <w:r w:rsidR="00F920A2">
        <w:rPr>
          <w:rFonts w:ascii="Times New Roman" w:hAnsi="Times New Roman" w:cs="Times New Roman"/>
          <w:sz w:val="26"/>
          <w:szCs w:val="26"/>
        </w:rPr>
        <w:t>action  was</w:t>
      </w:r>
      <w:proofErr w:type="gramEnd"/>
      <w:r w:rsidR="00F920A2">
        <w:rPr>
          <w:rFonts w:ascii="Times New Roman" w:hAnsi="Times New Roman" w:cs="Times New Roman"/>
          <w:sz w:val="26"/>
          <w:szCs w:val="26"/>
        </w:rPr>
        <w:t xml:space="preserve"> the development by the Justice Department  in the early 1970’s of the legal notion that where an executive department’s enabling legislation vests the powers and functions of the department in its head and authorizes that officer to delegate such powers and functions to subordinate officials </w:t>
      </w:r>
      <w:r w:rsidR="0077614A">
        <w:rPr>
          <w:rFonts w:ascii="Times New Roman" w:hAnsi="Times New Roman" w:cs="Times New Roman"/>
          <w:sz w:val="26"/>
          <w:szCs w:val="26"/>
        </w:rPr>
        <w:t>a</w:t>
      </w:r>
      <w:r w:rsidR="00F920A2">
        <w:rPr>
          <w:rFonts w:ascii="Times New Roman" w:hAnsi="Times New Roman" w:cs="Times New Roman"/>
          <w:sz w:val="26"/>
          <w:szCs w:val="26"/>
        </w:rPr>
        <w:t xml:space="preserve">s he or she sees fit, such authority </w:t>
      </w:r>
      <w:r w:rsidR="00EF24C9">
        <w:rPr>
          <w:rFonts w:ascii="Times New Roman" w:hAnsi="Times New Roman" w:cs="Times New Roman"/>
          <w:sz w:val="26"/>
          <w:szCs w:val="26"/>
        </w:rPr>
        <w:t xml:space="preserve">supersedes the Vacancies Act’s requirements and limitations on temporarily filling vacant advice and consent positions, allowing  for the presidential designation of acting officials for indefinite periods, even without </w:t>
      </w:r>
      <w:r w:rsidR="0077614A">
        <w:rPr>
          <w:rFonts w:ascii="Times New Roman" w:hAnsi="Times New Roman" w:cs="Times New Roman"/>
          <w:sz w:val="26"/>
          <w:szCs w:val="26"/>
        </w:rPr>
        <w:t xml:space="preserve">the </w:t>
      </w:r>
      <w:r w:rsidR="00EF24C9">
        <w:rPr>
          <w:rFonts w:ascii="Times New Roman" w:hAnsi="Times New Roman" w:cs="Times New Roman"/>
          <w:sz w:val="26"/>
          <w:szCs w:val="26"/>
        </w:rPr>
        <w:t>submi</w:t>
      </w:r>
      <w:r w:rsidR="0077614A">
        <w:rPr>
          <w:rFonts w:ascii="Times New Roman" w:hAnsi="Times New Roman" w:cs="Times New Roman"/>
          <w:sz w:val="26"/>
          <w:szCs w:val="26"/>
        </w:rPr>
        <w:t>ssion</w:t>
      </w:r>
      <w:r w:rsidR="00EF24C9">
        <w:rPr>
          <w:rFonts w:ascii="Times New Roman" w:hAnsi="Times New Roman" w:cs="Times New Roman"/>
          <w:sz w:val="26"/>
          <w:szCs w:val="26"/>
        </w:rPr>
        <w:t xml:space="preserve"> </w:t>
      </w:r>
      <w:r w:rsidR="0077614A">
        <w:rPr>
          <w:rFonts w:ascii="Times New Roman" w:hAnsi="Times New Roman" w:cs="Times New Roman"/>
          <w:sz w:val="26"/>
          <w:szCs w:val="26"/>
        </w:rPr>
        <w:t xml:space="preserve">of </w:t>
      </w:r>
      <w:r w:rsidR="00EF24C9">
        <w:rPr>
          <w:rFonts w:ascii="Times New Roman" w:hAnsi="Times New Roman" w:cs="Times New Roman"/>
          <w:sz w:val="26"/>
          <w:szCs w:val="26"/>
        </w:rPr>
        <w:t>a nomination to the Senate to fill the position on a permanent basis.</w:t>
      </w:r>
      <w:r w:rsidR="00EF24C9">
        <w:rPr>
          <w:rStyle w:val="FootnoteReference"/>
          <w:rFonts w:ascii="Times New Roman" w:hAnsi="Times New Roman" w:cs="Times New Roman"/>
          <w:sz w:val="26"/>
          <w:szCs w:val="26"/>
        </w:rPr>
        <w:footnoteReference w:id="111"/>
      </w:r>
      <w:r w:rsidR="00EF24C9">
        <w:rPr>
          <w:rFonts w:ascii="Times New Roman" w:hAnsi="Times New Roman" w:cs="Times New Roman"/>
          <w:sz w:val="26"/>
          <w:szCs w:val="26"/>
        </w:rPr>
        <w:t xml:space="preserve">  Since every executive </w:t>
      </w:r>
      <w:r w:rsidR="0039772B">
        <w:rPr>
          <w:rFonts w:ascii="Times New Roman" w:hAnsi="Times New Roman" w:cs="Times New Roman"/>
          <w:sz w:val="26"/>
          <w:szCs w:val="26"/>
        </w:rPr>
        <w:t>department and single-headed independent agency has such provisions, the effect of the theory was to exempt every such department and agency from Vacancies Act coverage. As a consequence, by early 1998, 20 percent of the 320</w:t>
      </w:r>
      <w:r w:rsidR="00EF24C9">
        <w:rPr>
          <w:rFonts w:ascii="Times New Roman" w:hAnsi="Times New Roman" w:cs="Times New Roman"/>
          <w:sz w:val="26"/>
          <w:szCs w:val="26"/>
        </w:rPr>
        <w:t xml:space="preserve"> </w:t>
      </w:r>
      <w:r w:rsidR="0039772B">
        <w:rPr>
          <w:rFonts w:ascii="Times New Roman" w:hAnsi="Times New Roman" w:cs="Times New Roman"/>
          <w:sz w:val="26"/>
          <w:szCs w:val="26"/>
        </w:rPr>
        <w:t>advice and consent positions in the executive departments were being unlawfully held by acting officials, some for several years.</w:t>
      </w:r>
      <w:r w:rsidR="0039772B">
        <w:rPr>
          <w:rStyle w:val="FootnoteReference"/>
          <w:rFonts w:ascii="Times New Roman" w:hAnsi="Times New Roman" w:cs="Times New Roman"/>
          <w:sz w:val="26"/>
          <w:szCs w:val="26"/>
        </w:rPr>
        <w:footnoteReference w:id="112"/>
      </w:r>
      <w:r w:rsidR="00EF24C9">
        <w:rPr>
          <w:rFonts w:ascii="Times New Roman" w:hAnsi="Times New Roman" w:cs="Times New Roman"/>
          <w:sz w:val="26"/>
          <w:szCs w:val="26"/>
        </w:rPr>
        <w:t xml:space="preserve"> </w:t>
      </w:r>
      <w:r w:rsidR="0039772B">
        <w:rPr>
          <w:rFonts w:ascii="Times New Roman" w:hAnsi="Times New Roman" w:cs="Times New Roman"/>
          <w:sz w:val="26"/>
          <w:szCs w:val="26"/>
        </w:rPr>
        <w:t xml:space="preserve">The reform legislation enacted made its </w:t>
      </w:r>
      <w:proofErr w:type="gramStart"/>
      <w:r w:rsidR="0039772B">
        <w:rPr>
          <w:rFonts w:ascii="Times New Roman" w:hAnsi="Times New Roman" w:cs="Times New Roman"/>
          <w:sz w:val="26"/>
          <w:szCs w:val="26"/>
        </w:rPr>
        <w:t>requirements  and</w:t>
      </w:r>
      <w:proofErr w:type="gramEnd"/>
      <w:r w:rsidR="0039772B">
        <w:rPr>
          <w:rFonts w:ascii="Times New Roman" w:hAnsi="Times New Roman" w:cs="Times New Roman"/>
          <w:sz w:val="26"/>
          <w:szCs w:val="26"/>
        </w:rPr>
        <w:t xml:space="preserve"> limitations the exclusive means for temporarily</w:t>
      </w:r>
      <w:r w:rsidR="00F920A2">
        <w:rPr>
          <w:rFonts w:ascii="Times New Roman" w:hAnsi="Times New Roman" w:cs="Times New Roman"/>
          <w:sz w:val="26"/>
          <w:szCs w:val="26"/>
        </w:rPr>
        <w:t xml:space="preserve"> </w:t>
      </w:r>
      <w:r w:rsidR="0039772B">
        <w:rPr>
          <w:rFonts w:ascii="Times New Roman" w:hAnsi="Times New Roman" w:cs="Times New Roman"/>
          <w:sz w:val="26"/>
          <w:szCs w:val="26"/>
        </w:rPr>
        <w:t>filling vacancies in advice and consent positions and explicitly foreclosed</w:t>
      </w:r>
      <w:r w:rsidR="0077614A">
        <w:rPr>
          <w:rFonts w:ascii="Times New Roman" w:hAnsi="Times New Roman" w:cs="Times New Roman"/>
          <w:sz w:val="26"/>
          <w:szCs w:val="26"/>
        </w:rPr>
        <w:t xml:space="preserve"> </w:t>
      </w:r>
      <w:r w:rsidR="0039772B">
        <w:rPr>
          <w:rFonts w:ascii="Times New Roman" w:hAnsi="Times New Roman" w:cs="Times New Roman"/>
          <w:sz w:val="26"/>
          <w:szCs w:val="26"/>
        </w:rPr>
        <w:t>further utilization DOJ’s exemptive theory.</w:t>
      </w:r>
      <w:r w:rsidR="002928F5">
        <w:rPr>
          <w:rStyle w:val="FootnoteReference"/>
          <w:rFonts w:ascii="Times New Roman" w:hAnsi="Times New Roman" w:cs="Times New Roman"/>
          <w:sz w:val="26"/>
          <w:szCs w:val="26"/>
        </w:rPr>
        <w:footnoteReference w:id="113"/>
      </w:r>
      <w:r w:rsidR="00F920A2">
        <w:rPr>
          <w:rFonts w:ascii="Times New Roman" w:hAnsi="Times New Roman" w:cs="Times New Roman"/>
          <w:sz w:val="26"/>
          <w:szCs w:val="26"/>
        </w:rPr>
        <w:t xml:space="preserve"> </w:t>
      </w:r>
      <w:r w:rsidR="0077614A">
        <w:rPr>
          <w:rFonts w:ascii="Times New Roman" w:hAnsi="Times New Roman" w:cs="Times New Roman"/>
          <w:sz w:val="26"/>
          <w:szCs w:val="26"/>
        </w:rPr>
        <w:t xml:space="preserve"> </w:t>
      </w:r>
      <w:r w:rsidR="00CE1C71">
        <w:rPr>
          <w:rFonts w:ascii="Times New Roman" w:hAnsi="Times New Roman" w:cs="Times New Roman"/>
          <w:sz w:val="26"/>
          <w:szCs w:val="26"/>
        </w:rPr>
        <w:t xml:space="preserve">  </w:t>
      </w:r>
      <w:r w:rsidR="000A713B">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ED5482" w:rsidRDefault="00E7229A" w:rsidP="00FB39EF">
      <w:pPr>
        <w:pStyle w:val="ListParagraph"/>
        <w:numPr>
          <w:ilvl w:val="0"/>
          <w:numId w:val="15"/>
        </w:numPr>
        <w:spacing w:after="0" w:line="240" w:lineRule="auto"/>
        <w:rPr>
          <w:rFonts w:ascii="Times New Roman" w:hAnsi="Times New Roman" w:cs="Times New Roman"/>
          <w:sz w:val="26"/>
          <w:szCs w:val="26"/>
          <w:u w:val="single"/>
        </w:rPr>
      </w:pPr>
      <w:r w:rsidRPr="00ED5482">
        <w:rPr>
          <w:rFonts w:ascii="Times New Roman" w:hAnsi="Times New Roman" w:cs="Times New Roman"/>
          <w:sz w:val="26"/>
          <w:szCs w:val="26"/>
          <w:u w:val="single"/>
        </w:rPr>
        <w:t>Holdover Provisions</w:t>
      </w:r>
    </w:p>
    <w:p w:rsidR="00E7229A" w:rsidRPr="00FC2C06" w:rsidRDefault="00E7229A" w:rsidP="00FB39EF">
      <w:pPr>
        <w:spacing w:after="0" w:line="240" w:lineRule="auto"/>
        <w:ind w:left="720"/>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Congress </w:t>
      </w:r>
      <w:r w:rsidR="00C000C7">
        <w:rPr>
          <w:rFonts w:ascii="Times New Roman" w:hAnsi="Times New Roman" w:cs="Times New Roman"/>
          <w:sz w:val="26"/>
          <w:szCs w:val="26"/>
        </w:rPr>
        <w:t>often</w:t>
      </w:r>
      <w:r w:rsidRPr="00FC2C06">
        <w:rPr>
          <w:rFonts w:ascii="Times New Roman" w:hAnsi="Times New Roman" w:cs="Times New Roman"/>
          <w:sz w:val="26"/>
          <w:szCs w:val="26"/>
        </w:rPr>
        <w:t xml:space="preserve"> accompanies fixed term positions with so-called “holdover” provisions that allow an incumbent to continue in office until the office is filled by a </w:t>
      </w:r>
      <w:r w:rsidR="000E5859">
        <w:rPr>
          <w:rFonts w:ascii="Times New Roman" w:hAnsi="Times New Roman" w:cs="Times New Roman"/>
          <w:sz w:val="26"/>
          <w:szCs w:val="26"/>
        </w:rPr>
        <w:t>S</w:t>
      </w:r>
      <w:r w:rsidRPr="00FC2C06">
        <w:rPr>
          <w:rFonts w:ascii="Times New Roman" w:hAnsi="Times New Roman" w:cs="Times New Roman"/>
          <w:sz w:val="26"/>
          <w:szCs w:val="26"/>
        </w:rPr>
        <w:t xml:space="preserve">enate confirmed successor. Four District of Columbia Circuit district court cases have dealt with the question whether the President, during a holdover period, may make a </w:t>
      </w:r>
      <w:r w:rsidRPr="00FC2C06">
        <w:rPr>
          <w:rFonts w:ascii="Times New Roman" w:hAnsi="Times New Roman" w:cs="Times New Roman"/>
          <w:sz w:val="26"/>
          <w:szCs w:val="26"/>
        </w:rPr>
        <w:lastRenderedPageBreak/>
        <w:t>recess appointment. The OLC’s treatment of the rulings lends the impression that they were constitutional rulings on the issue that raise doubts as to the validity of such provisions. They were not. All were disposed of as matters of statutory construction, albeit constructions that properly avoided possible Appointments Clause questions. In two,</w:t>
      </w:r>
      <w:r w:rsidRPr="00FC2C06">
        <w:rPr>
          <w:rStyle w:val="FootnoteReference"/>
          <w:rFonts w:ascii="Times New Roman" w:hAnsi="Times New Roman" w:cs="Times New Roman"/>
          <w:sz w:val="26"/>
          <w:szCs w:val="26"/>
        </w:rPr>
        <w:footnoteReference w:id="114"/>
      </w:r>
      <w:r w:rsidRPr="00FC2C06">
        <w:rPr>
          <w:rFonts w:ascii="Times New Roman" w:hAnsi="Times New Roman" w:cs="Times New Roman"/>
          <w:sz w:val="26"/>
          <w:szCs w:val="26"/>
        </w:rPr>
        <w:t xml:space="preserve"> the district courts found that there was no vacancy; in one because the holdover was time limited to </w:t>
      </w:r>
      <w:r w:rsidR="00B07B38">
        <w:rPr>
          <w:rFonts w:ascii="Times New Roman" w:hAnsi="Times New Roman" w:cs="Times New Roman"/>
          <w:sz w:val="26"/>
          <w:szCs w:val="26"/>
        </w:rPr>
        <w:t xml:space="preserve">a determinate </w:t>
      </w:r>
      <w:r w:rsidRPr="00FC2C06">
        <w:rPr>
          <w:rFonts w:ascii="Times New Roman" w:hAnsi="Times New Roman" w:cs="Times New Roman"/>
          <w:sz w:val="26"/>
          <w:szCs w:val="26"/>
        </w:rPr>
        <w:t>one year; the other because the statutory language was directory (“shall continue to serve” until a successor “has been appointed and qualified.”).  In two others,</w:t>
      </w:r>
      <w:r w:rsidRPr="00FC2C06">
        <w:rPr>
          <w:rStyle w:val="FootnoteReference"/>
          <w:rFonts w:ascii="Times New Roman" w:hAnsi="Times New Roman" w:cs="Times New Roman"/>
          <w:sz w:val="26"/>
          <w:szCs w:val="26"/>
        </w:rPr>
        <w:footnoteReference w:id="115"/>
      </w:r>
      <w:r w:rsidRPr="00FC2C06">
        <w:rPr>
          <w:rFonts w:ascii="Times New Roman" w:hAnsi="Times New Roman" w:cs="Times New Roman"/>
          <w:sz w:val="26"/>
          <w:szCs w:val="26"/>
        </w:rPr>
        <w:t xml:space="preserve"> the courts found the holdover tenure provision too indefinite and therefore the office was deemed </w:t>
      </w:r>
      <w:proofErr w:type="gramStart"/>
      <w:r w:rsidRPr="00FC2C06">
        <w:rPr>
          <w:rFonts w:ascii="Times New Roman" w:hAnsi="Times New Roman" w:cs="Times New Roman"/>
          <w:sz w:val="26"/>
          <w:szCs w:val="26"/>
        </w:rPr>
        <w:t>vacant  and</w:t>
      </w:r>
      <w:proofErr w:type="gramEnd"/>
      <w:r w:rsidRPr="00FC2C06">
        <w:rPr>
          <w:rFonts w:ascii="Times New Roman" w:hAnsi="Times New Roman" w:cs="Times New Roman"/>
          <w:sz w:val="26"/>
          <w:szCs w:val="26"/>
        </w:rPr>
        <w:t xml:space="preserve"> subject to a recess appointment. In </w:t>
      </w:r>
      <w:r w:rsidRPr="00FC2C06">
        <w:rPr>
          <w:rFonts w:ascii="Times New Roman" w:hAnsi="Times New Roman" w:cs="Times New Roman"/>
          <w:i/>
          <w:iCs/>
          <w:sz w:val="26"/>
          <w:szCs w:val="26"/>
        </w:rPr>
        <w:t>Swan v. Clinton</w:t>
      </w:r>
      <w:r w:rsidRPr="00FC2C06">
        <w:rPr>
          <w:rStyle w:val="FootnoteReference"/>
          <w:rFonts w:ascii="Times New Roman" w:hAnsi="Times New Roman" w:cs="Times New Roman"/>
          <w:i/>
          <w:iCs/>
          <w:sz w:val="26"/>
          <w:szCs w:val="26"/>
        </w:rPr>
        <w:footnoteReference w:id="116"/>
      </w:r>
      <w:proofErr w:type="gramStart"/>
      <w:r w:rsidRPr="00FC2C06">
        <w:rPr>
          <w:rFonts w:ascii="Times New Roman" w:hAnsi="Times New Roman" w:cs="Times New Roman"/>
          <w:i/>
          <w:iCs/>
          <w:sz w:val="26"/>
          <w:szCs w:val="26"/>
        </w:rPr>
        <w:t xml:space="preserve">, </w:t>
      </w:r>
      <w:r w:rsidRPr="00FC2C06">
        <w:rPr>
          <w:rFonts w:ascii="Times New Roman" w:hAnsi="Times New Roman" w:cs="Times New Roman"/>
          <w:sz w:val="26"/>
          <w:szCs w:val="26"/>
        </w:rPr>
        <w:t xml:space="preserve"> the</w:t>
      </w:r>
      <w:proofErr w:type="gramEnd"/>
      <w:r w:rsidRPr="00FC2C06">
        <w:rPr>
          <w:rFonts w:ascii="Times New Roman" w:hAnsi="Times New Roman" w:cs="Times New Roman"/>
          <w:sz w:val="26"/>
          <w:szCs w:val="26"/>
        </w:rPr>
        <w:t xml:space="preserve"> D.C. Circuit appeals emphasized the need for a clear legislative statement on intent in such cases</w:t>
      </w:r>
      <w:r w:rsidR="000E5859">
        <w:rPr>
          <w:rFonts w:ascii="Times New Roman" w:hAnsi="Times New Roman" w:cs="Times New Roman"/>
          <w:sz w:val="26"/>
          <w:szCs w:val="26"/>
        </w:rPr>
        <w:t xml:space="preserve"> but raised no judicial constitutional concern </w:t>
      </w:r>
      <w:r w:rsidR="00F84BDE">
        <w:rPr>
          <w:rFonts w:ascii="Times New Roman" w:hAnsi="Times New Roman" w:cs="Times New Roman"/>
          <w:sz w:val="26"/>
          <w:szCs w:val="26"/>
        </w:rPr>
        <w:t>that</w:t>
      </w:r>
      <w:r w:rsidR="000E5859">
        <w:rPr>
          <w:rFonts w:ascii="Times New Roman" w:hAnsi="Times New Roman" w:cs="Times New Roman"/>
          <w:sz w:val="26"/>
          <w:szCs w:val="26"/>
        </w:rPr>
        <w:t xml:space="preserve"> such provisions</w:t>
      </w:r>
      <w:r w:rsidR="00F84BDE">
        <w:rPr>
          <w:rFonts w:ascii="Times New Roman" w:hAnsi="Times New Roman" w:cs="Times New Roman"/>
          <w:sz w:val="26"/>
          <w:szCs w:val="26"/>
        </w:rPr>
        <w:t xml:space="preserve"> interfere with the President’s recess appointment authority.</w:t>
      </w:r>
    </w:p>
    <w:p w:rsidR="00E7229A" w:rsidRPr="00FC2C06" w:rsidRDefault="00E7229A" w:rsidP="00D067DB">
      <w:pPr>
        <w:spacing w:after="0" w:line="240" w:lineRule="auto"/>
        <w:rPr>
          <w:rFonts w:ascii="Times New Roman" w:hAnsi="Times New Roman" w:cs="Times New Roman"/>
          <w:sz w:val="26"/>
          <w:szCs w:val="26"/>
        </w:rPr>
      </w:pPr>
    </w:p>
    <w:p w:rsidR="00E7229A" w:rsidRPr="00ED5482" w:rsidRDefault="00E7229A" w:rsidP="00256D66">
      <w:pPr>
        <w:pStyle w:val="ListParagraph"/>
        <w:numPr>
          <w:ilvl w:val="0"/>
          <w:numId w:val="15"/>
        </w:numPr>
        <w:spacing w:after="0" w:line="240" w:lineRule="auto"/>
        <w:rPr>
          <w:rFonts w:ascii="Times New Roman" w:hAnsi="Times New Roman" w:cs="Times New Roman"/>
          <w:sz w:val="26"/>
          <w:szCs w:val="26"/>
          <w:u w:val="single"/>
        </w:rPr>
      </w:pPr>
      <w:r w:rsidRPr="006E7477">
        <w:rPr>
          <w:rFonts w:ascii="Times New Roman" w:hAnsi="Times New Roman" w:cs="Times New Roman"/>
          <w:sz w:val="26"/>
          <w:szCs w:val="26"/>
          <w:u w:val="single"/>
        </w:rPr>
        <w:t xml:space="preserve">Pay </w:t>
      </w:r>
      <w:r w:rsidR="00F84BDE">
        <w:rPr>
          <w:rFonts w:ascii="Times New Roman" w:hAnsi="Times New Roman" w:cs="Times New Roman"/>
          <w:sz w:val="26"/>
          <w:szCs w:val="26"/>
          <w:u w:val="single"/>
        </w:rPr>
        <w:t xml:space="preserve">Act </w:t>
      </w:r>
      <w:r w:rsidRPr="006E7477">
        <w:rPr>
          <w:rFonts w:ascii="Times New Roman" w:hAnsi="Times New Roman" w:cs="Times New Roman"/>
          <w:sz w:val="26"/>
          <w:szCs w:val="26"/>
          <w:u w:val="single"/>
        </w:rPr>
        <w:t>Limitations</w:t>
      </w:r>
    </w:p>
    <w:p w:rsidR="00E7229A" w:rsidRPr="002B2E49" w:rsidRDefault="00E7229A" w:rsidP="002B2E49">
      <w:pPr>
        <w:spacing w:after="0" w:line="240" w:lineRule="auto"/>
        <w:ind w:left="720"/>
        <w:rPr>
          <w:rFonts w:ascii="Times New Roman" w:hAnsi="Times New Roman" w:cs="Times New Roman"/>
          <w:sz w:val="26"/>
          <w:szCs w:val="26"/>
        </w:rPr>
      </w:pPr>
    </w:p>
    <w:p w:rsidR="00495932"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004016BD">
        <w:rPr>
          <w:rFonts w:ascii="Times New Roman" w:hAnsi="Times New Roman" w:cs="Times New Roman"/>
          <w:sz w:val="26"/>
          <w:szCs w:val="26"/>
        </w:rPr>
        <w:t xml:space="preserve"> In</w:t>
      </w:r>
      <w:r w:rsidR="00D0551E">
        <w:rPr>
          <w:rFonts w:ascii="Times New Roman" w:hAnsi="Times New Roman" w:cs="Times New Roman"/>
          <w:sz w:val="26"/>
          <w:szCs w:val="26"/>
        </w:rPr>
        <w:t xml:space="preserve"> </w:t>
      </w:r>
      <w:r w:rsidRPr="00FC2C06">
        <w:rPr>
          <w:rFonts w:ascii="Times New Roman" w:hAnsi="Times New Roman" w:cs="Times New Roman"/>
          <w:sz w:val="26"/>
          <w:szCs w:val="26"/>
        </w:rPr>
        <w:t xml:space="preserve">1863, </w:t>
      </w:r>
      <w:r w:rsidR="00C000C7" w:rsidRPr="00FC2C06">
        <w:rPr>
          <w:rFonts w:ascii="Times New Roman" w:hAnsi="Times New Roman" w:cs="Times New Roman"/>
          <w:sz w:val="26"/>
          <w:szCs w:val="26"/>
        </w:rPr>
        <w:t>Congress</w:t>
      </w:r>
      <w:r w:rsidR="00C000C7">
        <w:rPr>
          <w:rFonts w:ascii="Times New Roman" w:hAnsi="Times New Roman" w:cs="Times New Roman"/>
          <w:sz w:val="26"/>
          <w:szCs w:val="26"/>
        </w:rPr>
        <w:t xml:space="preserve"> enacted</w:t>
      </w:r>
      <w:r w:rsidR="004016BD">
        <w:rPr>
          <w:rFonts w:ascii="Times New Roman" w:hAnsi="Times New Roman" w:cs="Times New Roman"/>
          <w:sz w:val="26"/>
          <w:szCs w:val="26"/>
        </w:rPr>
        <w:t xml:space="preserve"> a</w:t>
      </w:r>
      <w:r w:rsidR="00C000C7">
        <w:rPr>
          <w:rFonts w:ascii="Times New Roman" w:hAnsi="Times New Roman" w:cs="Times New Roman"/>
          <w:sz w:val="26"/>
          <w:szCs w:val="26"/>
        </w:rPr>
        <w:t xml:space="preserve"> provision</w:t>
      </w:r>
      <w:r w:rsidR="004016BD">
        <w:rPr>
          <w:rFonts w:ascii="Times New Roman" w:hAnsi="Times New Roman" w:cs="Times New Roman"/>
          <w:sz w:val="26"/>
          <w:szCs w:val="26"/>
        </w:rPr>
        <w:t xml:space="preserve"> that placed a flat prohibition on the payment </w:t>
      </w:r>
      <w:r w:rsidR="00C000C7">
        <w:rPr>
          <w:rFonts w:ascii="Times New Roman" w:hAnsi="Times New Roman" w:cs="Times New Roman"/>
          <w:sz w:val="26"/>
          <w:szCs w:val="26"/>
        </w:rPr>
        <w:t>of salary to recess appointees</w:t>
      </w:r>
      <w:r w:rsidR="004016BD">
        <w:rPr>
          <w:rFonts w:ascii="Times New Roman" w:hAnsi="Times New Roman" w:cs="Times New Roman"/>
          <w:sz w:val="26"/>
          <w:szCs w:val="26"/>
        </w:rPr>
        <w:t xml:space="preserve"> to positions that had become vacant during a period when the Senate was in session.</w:t>
      </w:r>
      <w:r w:rsidRPr="00FC2C06">
        <w:rPr>
          <w:rStyle w:val="FootnoteReference"/>
          <w:rFonts w:ascii="Times New Roman" w:hAnsi="Times New Roman" w:cs="Times New Roman"/>
          <w:sz w:val="26"/>
          <w:szCs w:val="26"/>
        </w:rPr>
        <w:footnoteReference w:id="117"/>
      </w:r>
      <w:r w:rsidRPr="00FC2C06">
        <w:rPr>
          <w:rFonts w:ascii="Times New Roman" w:hAnsi="Times New Roman" w:cs="Times New Roman"/>
          <w:sz w:val="26"/>
          <w:szCs w:val="26"/>
        </w:rPr>
        <w:t xml:space="preserve">  </w:t>
      </w:r>
      <w:r w:rsidR="00AE3869">
        <w:rPr>
          <w:rFonts w:ascii="Times New Roman" w:hAnsi="Times New Roman" w:cs="Times New Roman"/>
          <w:sz w:val="26"/>
          <w:szCs w:val="26"/>
        </w:rPr>
        <w:t xml:space="preserve">As explained by </w:t>
      </w:r>
      <w:r w:rsidRPr="00FC2C06">
        <w:rPr>
          <w:rFonts w:ascii="Times New Roman" w:hAnsi="Times New Roman" w:cs="Times New Roman"/>
          <w:sz w:val="26"/>
          <w:szCs w:val="26"/>
        </w:rPr>
        <w:t xml:space="preserve">Senator Fessenden </w:t>
      </w:r>
      <w:r w:rsidR="00AE3869">
        <w:rPr>
          <w:rFonts w:ascii="Times New Roman" w:hAnsi="Times New Roman" w:cs="Times New Roman"/>
          <w:sz w:val="26"/>
          <w:szCs w:val="26"/>
        </w:rPr>
        <w:t>at that time:</w:t>
      </w:r>
      <w:r w:rsidRPr="00FC2C06">
        <w:rPr>
          <w:rFonts w:ascii="Times New Roman" w:hAnsi="Times New Roman" w:cs="Times New Roman"/>
          <w:sz w:val="26"/>
          <w:szCs w:val="26"/>
        </w:rPr>
        <w:t xml:space="preserve"> “It may not be in our power to prevent the appointment, but it is in our power prevent the payment; and when the payment is prevented, I think that will </w:t>
      </w:r>
      <w:proofErr w:type="gramStart"/>
      <w:r w:rsidRPr="00FC2C06">
        <w:rPr>
          <w:rFonts w:ascii="Times New Roman" w:hAnsi="Times New Roman" w:cs="Times New Roman"/>
          <w:sz w:val="26"/>
          <w:szCs w:val="26"/>
        </w:rPr>
        <w:t>probably  put</w:t>
      </w:r>
      <w:proofErr w:type="gramEnd"/>
      <w:r w:rsidRPr="00FC2C06">
        <w:rPr>
          <w:rFonts w:ascii="Times New Roman" w:hAnsi="Times New Roman" w:cs="Times New Roman"/>
          <w:sz w:val="26"/>
          <w:szCs w:val="26"/>
        </w:rPr>
        <w:t xml:space="preserve"> an end to the habit of making such appointments.”</w:t>
      </w:r>
      <w:r w:rsidRPr="00FC2C06">
        <w:rPr>
          <w:rStyle w:val="FootnoteReference"/>
          <w:rFonts w:ascii="Times New Roman" w:hAnsi="Times New Roman" w:cs="Times New Roman"/>
          <w:sz w:val="26"/>
          <w:szCs w:val="26"/>
        </w:rPr>
        <w:footnoteReference w:id="118"/>
      </w:r>
      <w:r w:rsidRPr="00FC2C06">
        <w:rPr>
          <w:rFonts w:ascii="Times New Roman" w:hAnsi="Times New Roman" w:cs="Times New Roman"/>
          <w:sz w:val="26"/>
          <w:szCs w:val="26"/>
        </w:rPr>
        <w:t xml:space="preserve"> </w:t>
      </w:r>
      <w:r w:rsidR="003B561F">
        <w:rPr>
          <w:rFonts w:ascii="Times New Roman" w:hAnsi="Times New Roman" w:cs="Times New Roman"/>
          <w:sz w:val="26"/>
          <w:szCs w:val="26"/>
        </w:rPr>
        <w:t xml:space="preserve">It is important to note that at the time of the passage of the Pay </w:t>
      </w:r>
      <w:proofErr w:type="gramStart"/>
      <w:r w:rsidR="003B561F">
        <w:rPr>
          <w:rFonts w:ascii="Times New Roman" w:hAnsi="Times New Roman" w:cs="Times New Roman"/>
          <w:sz w:val="26"/>
          <w:szCs w:val="26"/>
        </w:rPr>
        <w:t>Act  intrasession</w:t>
      </w:r>
      <w:proofErr w:type="gramEnd"/>
      <w:r w:rsidR="003B561F">
        <w:rPr>
          <w:rFonts w:ascii="Times New Roman" w:hAnsi="Times New Roman" w:cs="Times New Roman"/>
          <w:sz w:val="26"/>
          <w:szCs w:val="26"/>
        </w:rPr>
        <w:t xml:space="preserve"> recess appointments were unknown. The understanding at the time was that recess appointments could be made only during intersession recesses.</w:t>
      </w:r>
      <w:r w:rsidR="00495932">
        <w:rPr>
          <w:rFonts w:ascii="Times New Roman" w:hAnsi="Times New Roman" w:cs="Times New Roman"/>
          <w:sz w:val="26"/>
          <w:szCs w:val="26"/>
        </w:rPr>
        <w:t xml:space="preserve"> Indeed, the construct of the Pay Act indicates </w:t>
      </w:r>
      <w:proofErr w:type="gramStart"/>
      <w:r w:rsidR="00495932">
        <w:rPr>
          <w:rFonts w:ascii="Times New Roman" w:hAnsi="Times New Roman" w:cs="Times New Roman"/>
          <w:sz w:val="26"/>
          <w:szCs w:val="26"/>
        </w:rPr>
        <w:t>a recognition</w:t>
      </w:r>
      <w:proofErr w:type="gramEnd"/>
      <w:r w:rsidR="00495932">
        <w:rPr>
          <w:rFonts w:ascii="Times New Roman" w:hAnsi="Times New Roman" w:cs="Times New Roman"/>
          <w:sz w:val="26"/>
          <w:szCs w:val="26"/>
        </w:rPr>
        <w:t xml:space="preserve"> that “session” and “recess” were mutually exclusive periods. </w:t>
      </w:r>
    </w:p>
    <w:p w:rsidR="00495932" w:rsidRDefault="00495932" w:rsidP="00D067DB">
      <w:pPr>
        <w:spacing w:after="0" w:line="240" w:lineRule="auto"/>
        <w:rPr>
          <w:rFonts w:ascii="Times New Roman" w:hAnsi="Times New Roman" w:cs="Times New Roman"/>
          <w:sz w:val="26"/>
          <w:szCs w:val="26"/>
        </w:rPr>
      </w:pPr>
    </w:p>
    <w:p w:rsidR="005D2E8F" w:rsidRDefault="00495932"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4016BD">
        <w:rPr>
          <w:rFonts w:ascii="Times New Roman" w:hAnsi="Times New Roman" w:cs="Times New Roman"/>
          <w:sz w:val="26"/>
          <w:szCs w:val="26"/>
        </w:rPr>
        <w:t>That prohibition</w:t>
      </w:r>
      <w:r w:rsidR="006E2A4A">
        <w:rPr>
          <w:rFonts w:ascii="Times New Roman" w:hAnsi="Times New Roman" w:cs="Times New Roman"/>
          <w:sz w:val="26"/>
          <w:szCs w:val="26"/>
        </w:rPr>
        <w:t>, and its non-recognition</w:t>
      </w:r>
      <w:r w:rsidR="00495324">
        <w:rPr>
          <w:rFonts w:ascii="Times New Roman" w:hAnsi="Times New Roman" w:cs="Times New Roman"/>
          <w:sz w:val="26"/>
          <w:szCs w:val="26"/>
        </w:rPr>
        <w:t xml:space="preserve"> of</w:t>
      </w:r>
      <w:r w:rsidR="006E2A4A">
        <w:rPr>
          <w:rFonts w:ascii="Times New Roman" w:hAnsi="Times New Roman" w:cs="Times New Roman"/>
          <w:sz w:val="26"/>
          <w:szCs w:val="26"/>
        </w:rPr>
        <w:t xml:space="preserve"> intrasession appointments, </w:t>
      </w:r>
      <w:r w:rsidR="004016BD">
        <w:rPr>
          <w:rFonts w:ascii="Times New Roman" w:hAnsi="Times New Roman" w:cs="Times New Roman"/>
          <w:sz w:val="26"/>
          <w:szCs w:val="26"/>
        </w:rPr>
        <w:t>remained in</w:t>
      </w:r>
      <w:r w:rsidR="009B3E66">
        <w:rPr>
          <w:rFonts w:ascii="Times New Roman" w:hAnsi="Times New Roman" w:cs="Times New Roman"/>
          <w:sz w:val="26"/>
          <w:szCs w:val="26"/>
        </w:rPr>
        <w:t>tac</w:t>
      </w:r>
      <w:r w:rsidR="004016BD">
        <w:rPr>
          <w:rFonts w:ascii="Times New Roman" w:hAnsi="Times New Roman" w:cs="Times New Roman"/>
          <w:sz w:val="26"/>
          <w:szCs w:val="26"/>
        </w:rPr>
        <w:t>t until 1940</w:t>
      </w:r>
      <w:r w:rsidR="001E7A87">
        <w:rPr>
          <w:rFonts w:ascii="Times New Roman" w:hAnsi="Times New Roman" w:cs="Times New Roman"/>
          <w:sz w:val="26"/>
          <w:szCs w:val="26"/>
        </w:rPr>
        <w:t xml:space="preserve"> </w:t>
      </w:r>
      <w:r w:rsidR="009B3E66">
        <w:rPr>
          <w:rFonts w:ascii="Times New Roman" w:hAnsi="Times New Roman" w:cs="Times New Roman"/>
          <w:sz w:val="26"/>
          <w:szCs w:val="26"/>
        </w:rPr>
        <w:t>when it was amended to make it less burdensome on recess appointees.</w:t>
      </w:r>
      <w:r w:rsidR="006E2A4A">
        <w:rPr>
          <w:rFonts w:ascii="Times New Roman" w:hAnsi="Times New Roman" w:cs="Times New Roman"/>
          <w:sz w:val="26"/>
          <w:szCs w:val="26"/>
        </w:rPr>
        <w:t xml:space="preserve"> It is to be recalled that by 1940 there had been only three intrasession appointments in history</w:t>
      </w:r>
      <w:r w:rsidR="007F789D">
        <w:rPr>
          <w:rFonts w:ascii="Times New Roman" w:hAnsi="Times New Roman" w:cs="Times New Roman"/>
          <w:sz w:val="26"/>
          <w:szCs w:val="26"/>
        </w:rPr>
        <w:t xml:space="preserve">, two of which relied on the </w:t>
      </w:r>
      <w:r w:rsidR="00495324">
        <w:rPr>
          <w:rFonts w:ascii="Times New Roman" w:hAnsi="Times New Roman" w:cs="Times New Roman"/>
          <w:sz w:val="26"/>
          <w:szCs w:val="26"/>
        </w:rPr>
        <w:t xml:space="preserve">problematic </w:t>
      </w:r>
      <w:r w:rsidR="007F789D">
        <w:rPr>
          <w:rFonts w:ascii="Times New Roman" w:hAnsi="Times New Roman" w:cs="Times New Roman"/>
          <w:sz w:val="26"/>
          <w:szCs w:val="26"/>
        </w:rPr>
        <w:t xml:space="preserve">1921 Daugherty opinion. The amendment did </w:t>
      </w:r>
      <w:r w:rsidR="00495324">
        <w:rPr>
          <w:rFonts w:ascii="Times New Roman" w:hAnsi="Times New Roman" w:cs="Times New Roman"/>
          <w:sz w:val="26"/>
          <w:szCs w:val="26"/>
        </w:rPr>
        <w:t>not disturb the original statutory construct that preserves a distinction between a session and a recess.</w:t>
      </w:r>
      <w:r w:rsidR="009B3E66">
        <w:rPr>
          <w:rFonts w:ascii="Times New Roman" w:hAnsi="Times New Roman" w:cs="Times New Roman"/>
          <w:sz w:val="26"/>
          <w:szCs w:val="26"/>
        </w:rPr>
        <w:t xml:space="preserve"> It provide</w:t>
      </w:r>
      <w:r w:rsidR="00495324">
        <w:rPr>
          <w:rFonts w:ascii="Times New Roman" w:hAnsi="Times New Roman" w:cs="Times New Roman"/>
          <w:sz w:val="26"/>
          <w:szCs w:val="26"/>
        </w:rPr>
        <w:t>d</w:t>
      </w:r>
      <w:r w:rsidR="009B3E66">
        <w:rPr>
          <w:rFonts w:ascii="Times New Roman" w:hAnsi="Times New Roman" w:cs="Times New Roman"/>
          <w:sz w:val="26"/>
          <w:szCs w:val="26"/>
        </w:rPr>
        <w:t xml:space="preserve"> three exceptions to the payment prohibition: (1) for appointees to vacancies that arise within 30 days of a recess; (2) for appointees to an office for which a nomination was </w:t>
      </w:r>
      <w:proofErr w:type="gramStart"/>
      <w:r w:rsidR="009B3E66">
        <w:rPr>
          <w:rFonts w:ascii="Times New Roman" w:hAnsi="Times New Roman" w:cs="Times New Roman"/>
          <w:sz w:val="26"/>
          <w:szCs w:val="26"/>
        </w:rPr>
        <w:t>pending  at</w:t>
      </w:r>
      <w:proofErr w:type="gramEnd"/>
      <w:r w:rsidR="009B3E66">
        <w:rPr>
          <w:rFonts w:ascii="Times New Roman" w:hAnsi="Times New Roman" w:cs="Times New Roman"/>
          <w:sz w:val="26"/>
          <w:szCs w:val="26"/>
        </w:rPr>
        <w:t xml:space="preserve"> the time of the recess, so long as the nomination is not of the person appointed during the previous recess of the Senate; and </w:t>
      </w:r>
      <w:r w:rsidR="009B3E66">
        <w:rPr>
          <w:rFonts w:ascii="Times New Roman" w:hAnsi="Times New Roman" w:cs="Times New Roman"/>
          <w:sz w:val="26"/>
          <w:szCs w:val="26"/>
        </w:rPr>
        <w:lastRenderedPageBreak/>
        <w:t>(3) for appointees</w:t>
      </w:r>
      <w:r w:rsidR="001E7A87">
        <w:rPr>
          <w:rFonts w:ascii="Times New Roman" w:hAnsi="Times New Roman" w:cs="Times New Roman"/>
          <w:sz w:val="26"/>
          <w:szCs w:val="26"/>
        </w:rPr>
        <w:t xml:space="preserve"> </w:t>
      </w:r>
      <w:r w:rsidR="00A94E02">
        <w:rPr>
          <w:rFonts w:ascii="Times New Roman" w:hAnsi="Times New Roman" w:cs="Times New Roman"/>
          <w:sz w:val="26"/>
          <w:szCs w:val="26"/>
        </w:rPr>
        <w:t>selected to an office where a nomination has been made but rejected by the Senate within 30 days of the recess, and the appointee was not the person rejected.</w:t>
      </w:r>
      <w:r w:rsidR="009B3E66">
        <w:rPr>
          <w:rFonts w:ascii="Times New Roman" w:hAnsi="Times New Roman" w:cs="Times New Roman"/>
          <w:sz w:val="26"/>
          <w:szCs w:val="26"/>
        </w:rPr>
        <w:t xml:space="preserve"> </w:t>
      </w:r>
      <w:r w:rsidR="00E7229A" w:rsidRPr="00FC2C06">
        <w:rPr>
          <w:rStyle w:val="FootnoteReference"/>
          <w:rFonts w:ascii="Times New Roman" w:hAnsi="Times New Roman" w:cs="Times New Roman"/>
          <w:sz w:val="26"/>
          <w:szCs w:val="26"/>
        </w:rPr>
        <w:footnoteReference w:id="119"/>
      </w:r>
    </w:p>
    <w:p w:rsidR="005D2E8F" w:rsidRDefault="005D2E8F" w:rsidP="00D067DB">
      <w:pPr>
        <w:spacing w:after="0" w:line="240" w:lineRule="auto"/>
        <w:rPr>
          <w:rFonts w:ascii="Times New Roman" w:hAnsi="Times New Roman" w:cs="Times New Roman"/>
          <w:sz w:val="26"/>
          <w:szCs w:val="26"/>
        </w:rPr>
      </w:pPr>
    </w:p>
    <w:p w:rsidR="00E7229A" w:rsidRPr="00FC2C06" w:rsidRDefault="005D2E8F"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1D33DC">
        <w:rPr>
          <w:rFonts w:ascii="Times New Roman" w:hAnsi="Times New Roman" w:cs="Times New Roman"/>
          <w:sz w:val="26"/>
          <w:szCs w:val="26"/>
        </w:rPr>
        <w:t xml:space="preserve">In addition to the restrictions prescribed in Section 5503, an annual funding limitation has been included in all </w:t>
      </w:r>
      <w:r w:rsidR="00D0551E">
        <w:rPr>
          <w:rFonts w:ascii="Times New Roman" w:hAnsi="Times New Roman" w:cs="Times New Roman"/>
          <w:sz w:val="26"/>
          <w:szCs w:val="26"/>
        </w:rPr>
        <w:t>T</w:t>
      </w:r>
      <w:r w:rsidR="001D33DC">
        <w:rPr>
          <w:rFonts w:ascii="Times New Roman" w:hAnsi="Times New Roman" w:cs="Times New Roman"/>
          <w:sz w:val="26"/>
          <w:szCs w:val="26"/>
        </w:rPr>
        <w:t>reasury and General Government Appropriations Acts for over 60 years that prohibits the payment of any recess appointee whose nomination has been voted down by the Senate.</w:t>
      </w:r>
      <w:r w:rsidR="001D33DC">
        <w:rPr>
          <w:rStyle w:val="FootnoteReference"/>
          <w:rFonts w:ascii="Times New Roman" w:hAnsi="Times New Roman" w:cs="Times New Roman"/>
          <w:sz w:val="26"/>
          <w:szCs w:val="26"/>
        </w:rPr>
        <w:footnoteReference w:id="120"/>
      </w:r>
      <w:r w:rsidR="006E2A4A">
        <w:rPr>
          <w:rFonts w:ascii="Times New Roman" w:hAnsi="Times New Roman" w:cs="Times New Roman"/>
          <w:sz w:val="26"/>
          <w:szCs w:val="26"/>
        </w:rPr>
        <w:t xml:space="preserve"> </w:t>
      </w:r>
      <w:r w:rsidR="00B36DC6">
        <w:rPr>
          <w:rFonts w:ascii="Times New Roman" w:hAnsi="Times New Roman" w:cs="Times New Roman"/>
          <w:sz w:val="26"/>
          <w:szCs w:val="26"/>
        </w:rPr>
        <w:t>In 2009</w:t>
      </w:r>
      <w:r w:rsidR="00D0551E">
        <w:rPr>
          <w:rFonts w:ascii="Times New Roman" w:hAnsi="Times New Roman" w:cs="Times New Roman"/>
          <w:sz w:val="26"/>
          <w:szCs w:val="26"/>
        </w:rPr>
        <w:t xml:space="preserve"> </w:t>
      </w:r>
      <w:r w:rsidR="00B36DC6">
        <w:rPr>
          <w:rFonts w:ascii="Times New Roman" w:hAnsi="Times New Roman" w:cs="Times New Roman"/>
          <w:sz w:val="26"/>
          <w:szCs w:val="26"/>
        </w:rPr>
        <w:t>Congress enacted another permanent appropriation rider that would prohibit payment “to any individual carrying out the responsibilities of any position requiring Senate advice and consent in an acting or temporary capacity after the second submission of a nomination for that individual has been withdrawn or returned to the President.</w:t>
      </w:r>
      <w:r w:rsidR="00B36DC6">
        <w:rPr>
          <w:rStyle w:val="FootnoteReference"/>
          <w:rFonts w:ascii="Times New Roman" w:hAnsi="Times New Roman" w:cs="Times New Roman"/>
          <w:sz w:val="26"/>
          <w:szCs w:val="26"/>
        </w:rPr>
        <w:footnoteReference w:id="121"/>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00207EE1">
        <w:rPr>
          <w:rFonts w:ascii="Times New Roman" w:hAnsi="Times New Roman" w:cs="Times New Roman"/>
          <w:sz w:val="26"/>
          <w:szCs w:val="26"/>
        </w:rPr>
        <w:t xml:space="preserve">The vacancies, holdover and pay acts are elaborative devices designed to </w:t>
      </w:r>
      <w:r w:rsidR="002F1C4C">
        <w:rPr>
          <w:rFonts w:ascii="Times New Roman" w:hAnsi="Times New Roman" w:cs="Times New Roman"/>
          <w:sz w:val="26"/>
          <w:szCs w:val="26"/>
        </w:rPr>
        <w:t xml:space="preserve">sustain, protect and make effective the preemptive constitutional direction to the President to obtain Senate consent for the officers chosen to execute the laws Congress has enacted. </w:t>
      </w:r>
      <w:proofErr w:type="gramStart"/>
      <w:r w:rsidR="002F1C4C">
        <w:rPr>
          <w:rFonts w:ascii="Times New Roman" w:hAnsi="Times New Roman" w:cs="Times New Roman"/>
          <w:sz w:val="26"/>
          <w:szCs w:val="26"/>
        </w:rPr>
        <w:t>These acts did not create the presidential obligation</w:t>
      </w:r>
      <w:proofErr w:type="gramEnd"/>
      <w:r w:rsidR="002F1C4C">
        <w:rPr>
          <w:rFonts w:ascii="Times New Roman" w:hAnsi="Times New Roman" w:cs="Times New Roman"/>
          <w:sz w:val="26"/>
          <w:szCs w:val="26"/>
        </w:rPr>
        <w:t xml:space="preserve">, </w:t>
      </w:r>
      <w:proofErr w:type="gramStart"/>
      <w:r w:rsidR="002F1C4C">
        <w:rPr>
          <w:rFonts w:ascii="Times New Roman" w:hAnsi="Times New Roman" w:cs="Times New Roman"/>
          <w:sz w:val="26"/>
          <w:szCs w:val="26"/>
        </w:rPr>
        <w:t>the Constituition has done that</w:t>
      </w:r>
      <w:proofErr w:type="gramEnd"/>
      <w:r w:rsidR="002F1C4C">
        <w:rPr>
          <w:rFonts w:ascii="Times New Roman" w:hAnsi="Times New Roman" w:cs="Times New Roman"/>
          <w:sz w:val="26"/>
          <w:szCs w:val="26"/>
        </w:rPr>
        <w:t xml:space="preserve">. These enactments since 1795 have simply provided the </w:t>
      </w:r>
      <w:proofErr w:type="gramStart"/>
      <w:r w:rsidR="002F1C4C">
        <w:rPr>
          <w:rFonts w:ascii="Times New Roman" w:hAnsi="Times New Roman" w:cs="Times New Roman"/>
          <w:sz w:val="26"/>
          <w:szCs w:val="26"/>
        </w:rPr>
        <w:t>time table</w:t>
      </w:r>
      <w:proofErr w:type="gramEnd"/>
      <w:r w:rsidR="002F1C4C">
        <w:rPr>
          <w:rFonts w:ascii="Times New Roman" w:hAnsi="Times New Roman" w:cs="Times New Roman"/>
          <w:sz w:val="26"/>
          <w:szCs w:val="26"/>
        </w:rPr>
        <w:t xml:space="preserve"> and parameters</w:t>
      </w:r>
      <w:r w:rsidR="006D6963">
        <w:rPr>
          <w:rFonts w:ascii="Times New Roman" w:hAnsi="Times New Roman" w:cs="Times New Roman"/>
          <w:sz w:val="26"/>
          <w:szCs w:val="26"/>
        </w:rPr>
        <w:t xml:space="preserve"> for its fulfillment. Some reflect political accommodations designed to provide practical incentives for timely Executive compliance. Such accommodations cannot be construed as acquiescence </w:t>
      </w:r>
      <w:r w:rsidR="00F43A82">
        <w:rPr>
          <w:rFonts w:ascii="Times New Roman" w:hAnsi="Times New Roman" w:cs="Times New Roman"/>
          <w:sz w:val="26"/>
          <w:szCs w:val="26"/>
        </w:rPr>
        <w:t xml:space="preserve">to an abdication of a core </w:t>
      </w:r>
      <w:r w:rsidR="00D0551E">
        <w:rPr>
          <w:rFonts w:ascii="Times New Roman" w:hAnsi="Times New Roman" w:cs="Times New Roman"/>
          <w:sz w:val="26"/>
          <w:szCs w:val="26"/>
        </w:rPr>
        <w:t xml:space="preserve">Senate </w:t>
      </w:r>
      <w:r w:rsidR="00F43A82">
        <w:rPr>
          <w:rFonts w:ascii="Times New Roman" w:hAnsi="Times New Roman" w:cs="Times New Roman"/>
          <w:sz w:val="26"/>
          <w:szCs w:val="26"/>
        </w:rPr>
        <w:t xml:space="preserve">constitutional responsibility. They have been part of a scheme, never constitutionally questioned by the </w:t>
      </w:r>
      <w:proofErr w:type="gramStart"/>
      <w:r w:rsidR="00F43A82">
        <w:rPr>
          <w:rFonts w:ascii="Times New Roman" w:hAnsi="Times New Roman" w:cs="Times New Roman"/>
          <w:sz w:val="26"/>
          <w:szCs w:val="26"/>
        </w:rPr>
        <w:t>Executive,</w:t>
      </w:r>
      <w:proofErr w:type="gramEnd"/>
      <w:r w:rsidR="00F43A82">
        <w:rPr>
          <w:rFonts w:ascii="Times New Roman" w:hAnsi="Times New Roman" w:cs="Times New Roman"/>
          <w:sz w:val="26"/>
          <w:szCs w:val="26"/>
        </w:rPr>
        <w:t xml:space="preserve"> to assure that the President does not evade, and thereby undermine, the Senate’s confirmation prerogative. </w:t>
      </w:r>
      <w:r w:rsidR="006D6963">
        <w:rPr>
          <w:rFonts w:ascii="Times New Roman" w:hAnsi="Times New Roman" w:cs="Times New Roman"/>
          <w:sz w:val="26"/>
          <w:szCs w:val="26"/>
        </w:rPr>
        <w:t xml:space="preserve">  </w:t>
      </w:r>
    </w:p>
    <w:p w:rsidR="00E7229A" w:rsidRDefault="00E7229A" w:rsidP="00D067DB">
      <w:pPr>
        <w:spacing w:after="0" w:line="240" w:lineRule="auto"/>
        <w:rPr>
          <w:rFonts w:ascii="Times New Roman" w:hAnsi="Times New Roman" w:cs="Times New Roman"/>
          <w:sz w:val="26"/>
          <w:szCs w:val="26"/>
        </w:rPr>
      </w:pPr>
    </w:p>
    <w:p w:rsidR="006853C7" w:rsidRDefault="006853C7" w:rsidP="006853C7">
      <w:pPr>
        <w:tabs>
          <w:tab w:val="left" w:pos="0"/>
        </w:tabs>
        <w:spacing w:after="0" w:line="240" w:lineRule="auto"/>
        <w:rPr>
          <w:rFonts w:ascii="Times New Roman" w:hAnsi="Times New Roman" w:cs="Times New Roman"/>
          <w:sz w:val="26"/>
          <w:szCs w:val="26"/>
        </w:rPr>
      </w:pPr>
    </w:p>
    <w:p w:rsidR="006853C7" w:rsidRDefault="00E7229A" w:rsidP="006853C7">
      <w:pPr>
        <w:tabs>
          <w:tab w:val="left" w:pos="0"/>
        </w:tabs>
        <w:spacing w:after="0" w:line="240" w:lineRule="auto"/>
        <w:rPr>
          <w:rFonts w:ascii="Times New Roman" w:hAnsi="Times New Roman" w:cs="Times New Roman"/>
          <w:sz w:val="26"/>
          <w:szCs w:val="26"/>
        </w:rPr>
      </w:pPr>
      <w:r w:rsidRPr="00FC2C06">
        <w:rPr>
          <w:rFonts w:ascii="Times New Roman" w:hAnsi="Times New Roman" w:cs="Times New Roman"/>
          <w:sz w:val="26"/>
          <w:szCs w:val="26"/>
        </w:rPr>
        <w:t xml:space="preserve">VI.   </w:t>
      </w:r>
      <w:r w:rsidRPr="00FC2C06">
        <w:rPr>
          <w:rFonts w:ascii="Times New Roman" w:hAnsi="Times New Roman" w:cs="Times New Roman"/>
          <w:sz w:val="26"/>
          <w:szCs w:val="26"/>
        </w:rPr>
        <w:tab/>
      </w:r>
      <w:r w:rsidRPr="00090337">
        <w:rPr>
          <w:rFonts w:ascii="Times New Roman" w:hAnsi="Times New Roman" w:cs="Times New Roman"/>
          <w:sz w:val="26"/>
          <w:szCs w:val="26"/>
          <w:u w:val="single"/>
        </w:rPr>
        <w:t>The Supreme Court Has Not Resolved the Issue of the Constitutionality of Intrasession Recess Appointments</w:t>
      </w:r>
    </w:p>
    <w:p w:rsidR="00E7229A" w:rsidRPr="00FC2C06" w:rsidRDefault="00E7229A" w:rsidP="008D5275">
      <w:pPr>
        <w:spacing w:after="0" w:line="240" w:lineRule="auto"/>
        <w:ind w:left="720" w:hanging="720"/>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constitutional question whether recess appointments are valid during an intrasession recess is no</w:t>
      </w:r>
      <w:r w:rsidR="00116836">
        <w:rPr>
          <w:rFonts w:ascii="Times New Roman" w:hAnsi="Times New Roman" w:cs="Times New Roman"/>
          <w:sz w:val="26"/>
          <w:szCs w:val="26"/>
        </w:rPr>
        <w:t>t</w:t>
      </w:r>
      <w:r w:rsidRPr="00FC2C06">
        <w:rPr>
          <w:rFonts w:ascii="Times New Roman" w:hAnsi="Times New Roman" w:cs="Times New Roman"/>
          <w:sz w:val="26"/>
          <w:szCs w:val="26"/>
        </w:rPr>
        <w:t xml:space="preserve"> settled</w:t>
      </w:r>
      <w:r>
        <w:rPr>
          <w:rFonts w:ascii="Times New Roman" w:hAnsi="Times New Roman" w:cs="Times New Roman"/>
          <w:sz w:val="26"/>
          <w:szCs w:val="26"/>
        </w:rPr>
        <w:t>.</w:t>
      </w:r>
      <w:r w:rsidRPr="00FC2C06">
        <w:rPr>
          <w:rFonts w:ascii="Times New Roman" w:hAnsi="Times New Roman" w:cs="Times New Roman"/>
          <w:sz w:val="26"/>
          <w:szCs w:val="26"/>
        </w:rPr>
        <w:t xml:space="preserve">  In 2004, the 11</w:t>
      </w:r>
      <w:r w:rsidRPr="00FC2C06">
        <w:rPr>
          <w:rFonts w:ascii="Times New Roman" w:hAnsi="Times New Roman" w:cs="Times New Roman"/>
          <w:sz w:val="26"/>
          <w:szCs w:val="26"/>
          <w:vertAlign w:val="superscript"/>
        </w:rPr>
        <w:t>th</w:t>
      </w:r>
      <w:r w:rsidRPr="00FC2C06">
        <w:rPr>
          <w:rFonts w:ascii="Times New Roman" w:hAnsi="Times New Roman" w:cs="Times New Roman"/>
          <w:sz w:val="26"/>
          <w:szCs w:val="26"/>
        </w:rPr>
        <w:t xml:space="preserve"> Circuit held in </w:t>
      </w:r>
      <w:r w:rsidRPr="00FC2C06">
        <w:rPr>
          <w:rFonts w:ascii="Times New Roman" w:hAnsi="Times New Roman" w:cs="Times New Roman"/>
          <w:i/>
          <w:iCs/>
          <w:sz w:val="26"/>
          <w:szCs w:val="26"/>
        </w:rPr>
        <w:t>Evans v. Stephens</w:t>
      </w:r>
      <w:r w:rsidRPr="00FC2C06">
        <w:rPr>
          <w:rStyle w:val="FootnoteReference"/>
          <w:rFonts w:ascii="Times New Roman" w:hAnsi="Times New Roman" w:cs="Times New Roman"/>
          <w:i/>
          <w:iCs/>
          <w:sz w:val="26"/>
          <w:szCs w:val="26"/>
        </w:rPr>
        <w:footnoteReference w:id="122"/>
      </w:r>
      <w:r w:rsidRPr="00FC2C06">
        <w:rPr>
          <w:rFonts w:ascii="Times New Roman" w:hAnsi="Times New Roman" w:cs="Times New Roman"/>
          <w:sz w:val="26"/>
          <w:szCs w:val="26"/>
        </w:rPr>
        <w:t xml:space="preserve"> such an appointment to be valid.  On denying </w:t>
      </w:r>
      <w:r w:rsidRPr="00090337">
        <w:rPr>
          <w:rFonts w:ascii="Times New Roman" w:hAnsi="Times New Roman" w:cs="Times New Roman"/>
          <w:i/>
          <w:iCs/>
          <w:sz w:val="26"/>
          <w:szCs w:val="26"/>
        </w:rPr>
        <w:t>certiorari</w:t>
      </w:r>
      <w:r w:rsidRPr="00FC2C06">
        <w:rPr>
          <w:rFonts w:ascii="Times New Roman" w:hAnsi="Times New Roman" w:cs="Times New Roman"/>
          <w:sz w:val="26"/>
          <w:szCs w:val="26"/>
        </w:rPr>
        <w:t xml:space="preserve">, Justice Stevens pointedly </w:t>
      </w:r>
      <w:r w:rsidR="005D2E8F">
        <w:rPr>
          <w:rFonts w:ascii="Times New Roman" w:hAnsi="Times New Roman" w:cs="Times New Roman"/>
          <w:sz w:val="26"/>
          <w:szCs w:val="26"/>
        </w:rPr>
        <w:t xml:space="preserve">  </w:t>
      </w:r>
      <w:r w:rsidRPr="00FC2C06">
        <w:rPr>
          <w:rFonts w:ascii="Times New Roman" w:hAnsi="Times New Roman" w:cs="Times New Roman"/>
          <w:sz w:val="26"/>
          <w:szCs w:val="26"/>
        </w:rPr>
        <w:t xml:space="preserve">explained that </w:t>
      </w:r>
      <w:r>
        <w:rPr>
          <w:rFonts w:ascii="Times New Roman" w:hAnsi="Times New Roman" w:cs="Times New Roman"/>
          <w:sz w:val="26"/>
          <w:szCs w:val="26"/>
        </w:rPr>
        <w:t xml:space="preserve">the Court’s denial was not </w:t>
      </w:r>
      <w:r w:rsidRPr="00FC2C06">
        <w:rPr>
          <w:rFonts w:ascii="Times New Roman" w:hAnsi="Times New Roman" w:cs="Times New Roman"/>
          <w:sz w:val="26"/>
          <w:szCs w:val="26"/>
        </w:rPr>
        <w:t xml:space="preserve">a ruling on the </w:t>
      </w:r>
      <w:r>
        <w:rPr>
          <w:rFonts w:ascii="Times New Roman" w:hAnsi="Times New Roman" w:cs="Times New Roman"/>
          <w:sz w:val="26"/>
          <w:szCs w:val="26"/>
        </w:rPr>
        <w:t>merits of the argument</w:t>
      </w:r>
      <w:proofErr w:type="gramStart"/>
      <w:r>
        <w:rPr>
          <w:rFonts w:ascii="Times New Roman" w:hAnsi="Times New Roman" w:cs="Times New Roman"/>
          <w:sz w:val="26"/>
          <w:szCs w:val="26"/>
        </w:rPr>
        <w:t xml:space="preserve">, </w:t>
      </w:r>
      <w:r w:rsidRPr="00FC2C06">
        <w:rPr>
          <w:rFonts w:ascii="Times New Roman" w:hAnsi="Times New Roman" w:cs="Times New Roman"/>
          <w:sz w:val="26"/>
          <w:szCs w:val="26"/>
        </w:rPr>
        <w:t xml:space="preserve"> and</w:t>
      </w:r>
      <w:proofErr w:type="gramEnd"/>
      <w:r w:rsidRPr="00FC2C06">
        <w:rPr>
          <w:rFonts w:ascii="Times New Roman" w:hAnsi="Times New Roman" w:cs="Times New Roman"/>
          <w:sz w:val="26"/>
          <w:szCs w:val="26"/>
        </w:rPr>
        <w:t xml:space="preserve"> that “it would be a mistake to assume that our disposition of the petition constitutes a decision on the merits of whether the President has the constitutional authority to fill future Article </w:t>
      </w:r>
      <w:r w:rsidRPr="00FC2C06">
        <w:rPr>
          <w:rFonts w:ascii="Times New Roman" w:hAnsi="Times New Roman" w:cs="Times New Roman"/>
          <w:sz w:val="26"/>
          <w:szCs w:val="26"/>
        </w:rPr>
        <w:lastRenderedPageBreak/>
        <w:t>III vacancies, such as to this, with appointments made without the consent of the Senate during short intrasession ‘recesses.’”</w:t>
      </w:r>
      <w:r w:rsidRPr="00FC2C06">
        <w:rPr>
          <w:rStyle w:val="FootnoteReference"/>
          <w:rFonts w:ascii="Times New Roman" w:hAnsi="Times New Roman" w:cs="Times New Roman"/>
          <w:sz w:val="26"/>
          <w:szCs w:val="26"/>
        </w:rPr>
        <w:footnoteReference w:id="123"/>
      </w:r>
      <w:r w:rsidRPr="00FC2C06">
        <w:rPr>
          <w:rFonts w:ascii="Times New Roman" w:hAnsi="Times New Roman" w:cs="Times New Roman"/>
          <w:sz w:val="26"/>
          <w:szCs w:val="26"/>
        </w:rPr>
        <w:t xml:space="preserve">  The OLC opinion agrees the issue is still open.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Supreme Court has repeatedly stressed the need for “vigilance” against attempts by each of the three branches of Government to exceed the outer limits of its power. The Supreme Court has not hesitated to invalidate such attempts.</w:t>
      </w:r>
      <w:r w:rsidRPr="00FC2C06">
        <w:rPr>
          <w:rStyle w:val="FootnoteReference"/>
          <w:rFonts w:ascii="Times New Roman" w:hAnsi="Times New Roman" w:cs="Times New Roman"/>
          <w:sz w:val="26"/>
          <w:szCs w:val="26"/>
        </w:rPr>
        <w:footnoteReference w:id="124"/>
      </w:r>
      <w:r w:rsidRPr="00FC2C06">
        <w:rPr>
          <w:rFonts w:ascii="Times New Roman" w:hAnsi="Times New Roman" w:cs="Times New Roman"/>
          <w:sz w:val="26"/>
          <w:szCs w:val="26"/>
        </w:rPr>
        <w:t xml:space="preserve">  Use of the recess appointment power during this past January, in the face of a clear Senate stance evincing </w:t>
      </w:r>
      <w:proofErr w:type="gramStart"/>
      <w:r w:rsidRPr="00FC2C06">
        <w:rPr>
          <w:rFonts w:ascii="Times New Roman" w:hAnsi="Times New Roman" w:cs="Times New Roman"/>
          <w:sz w:val="26"/>
          <w:szCs w:val="26"/>
        </w:rPr>
        <w:t>an intent</w:t>
      </w:r>
      <w:proofErr w:type="gramEnd"/>
      <w:r w:rsidRPr="00FC2C06">
        <w:rPr>
          <w:rFonts w:ascii="Times New Roman" w:hAnsi="Times New Roman" w:cs="Times New Roman"/>
          <w:sz w:val="26"/>
          <w:szCs w:val="26"/>
        </w:rPr>
        <w:t xml:space="preserve"> not to take a constitutional recess, is just such an action.  By invoking the recess power the President has avoided the Senate’s exclusive constitutional function to advise and consent on presidential appointments.  Indeed, two of the appointees</w:t>
      </w:r>
      <w:r>
        <w:rPr>
          <w:rFonts w:ascii="Times New Roman" w:hAnsi="Times New Roman" w:cs="Times New Roman"/>
          <w:sz w:val="26"/>
          <w:szCs w:val="26"/>
        </w:rPr>
        <w:t xml:space="preserve"> were nominated </w:t>
      </w:r>
      <w:proofErr w:type="gramStart"/>
      <w:r>
        <w:rPr>
          <w:rFonts w:ascii="Times New Roman" w:hAnsi="Times New Roman" w:cs="Times New Roman"/>
          <w:sz w:val="26"/>
          <w:szCs w:val="26"/>
        </w:rPr>
        <w:t xml:space="preserve">only </w:t>
      </w:r>
      <w:r w:rsidRPr="00FC2C06">
        <w:rPr>
          <w:rFonts w:ascii="Times New Roman" w:hAnsi="Times New Roman" w:cs="Times New Roman"/>
          <w:sz w:val="26"/>
          <w:szCs w:val="26"/>
        </w:rPr>
        <w:t xml:space="preserve"> two</w:t>
      </w:r>
      <w:proofErr w:type="gramEnd"/>
      <w:r w:rsidRPr="00FC2C06">
        <w:rPr>
          <w:rFonts w:ascii="Times New Roman" w:hAnsi="Times New Roman" w:cs="Times New Roman"/>
          <w:sz w:val="26"/>
          <w:szCs w:val="26"/>
        </w:rPr>
        <w:t xml:space="preserve"> days before the adjournment, not giving the Senate even time to vet and hold hearings.</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heart of the issue here is that the failure of the</w:t>
      </w:r>
      <w:r>
        <w:rPr>
          <w:rFonts w:ascii="Times New Roman" w:hAnsi="Times New Roman" w:cs="Times New Roman"/>
          <w:sz w:val="26"/>
          <w:szCs w:val="26"/>
        </w:rPr>
        <w:t xml:space="preserve"> P</w:t>
      </w:r>
      <w:r w:rsidRPr="00FC2C06">
        <w:rPr>
          <w:rFonts w:ascii="Times New Roman" w:hAnsi="Times New Roman" w:cs="Times New Roman"/>
          <w:sz w:val="26"/>
          <w:szCs w:val="26"/>
        </w:rPr>
        <w:t>resident to follow the constitutional rules for appointments raises the specter of presidential usurpation</w:t>
      </w:r>
      <w:r>
        <w:rPr>
          <w:rFonts w:ascii="Times New Roman" w:hAnsi="Times New Roman" w:cs="Times New Roman"/>
          <w:sz w:val="26"/>
          <w:szCs w:val="26"/>
        </w:rPr>
        <w:t xml:space="preserve"> of power</w:t>
      </w:r>
      <w:r w:rsidRPr="00FC2C06">
        <w:rPr>
          <w:rFonts w:ascii="Times New Roman" w:hAnsi="Times New Roman" w:cs="Times New Roman"/>
          <w:sz w:val="26"/>
          <w:szCs w:val="26"/>
        </w:rPr>
        <w:t xml:space="preserve">. The Supreme Court has </w:t>
      </w:r>
      <w:r>
        <w:rPr>
          <w:rFonts w:ascii="Times New Roman" w:hAnsi="Times New Roman" w:cs="Times New Roman"/>
          <w:sz w:val="26"/>
          <w:szCs w:val="26"/>
        </w:rPr>
        <w:t xml:space="preserve">long </w:t>
      </w:r>
      <w:proofErr w:type="gramStart"/>
      <w:r>
        <w:rPr>
          <w:rFonts w:ascii="Times New Roman" w:hAnsi="Times New Roman" w:cs="Times New Roman"/>
          <w:sz w:val="26"/>
          <w:szCs w:val="26"/>
        </w:rPr>
        <w:t>expressed  concerns</w:t>
      </w:r>
      <w:proofErr w:type="gramEnd"/>
      <w:r>
        <w:rPr>
          <w:rFonts w:ascii="Times New Roman" w:hAnsi="Times New Roman" w:cs="Times New Roman"/>
          <w:sz w:val="26"/>
          <w:szCs w:val="26"/>
        </w:rPr>
        <w:t xml:space="preserve"> </w:t>
      </w:r>
      <w:r w:rsidRPr="00FC2C06">
        <w:rPr>
          <w:rFonts w:ascii="Times New Roman" w:hAnsi="Times New Roman" w:cs="Times New Roman"/>
          <w:sz w:val="26"/>
          <w:szCs w:val="26"/>
        </w:rPr>
        <w:t>“over encroachment and aggrandizement</w:t>
      </w:r>
      <w:r>
        <w:rPr>
          <w:rFonts w:ascii="Times New Roman" w:hAnsi="Times New Roman" w:cs="Times New Roman"/>
          <w:sz w:val="26"/>
          <w:szCs w:val="26"/>
        </w:rPr>
        <w:t>” of one branch over the other, and these concerns have “</w:t>
      </w:r>
      <w:r w:rsidRPr="00FC2C06">
        <w:rPr>
          <w:rFonts w:ascii="Times New Roman" w:hAnsi="Times New Roman" w:cs="Times New Roman"/>
          <w:sz w:val="26"/>
          <w:szCs w:val="26"/>
        </w:rPr>
        <w:t xml:space="preserve"> animated our jurisprudence and arouses our vigilance  against the ‘hydraulic pressure inherent within each of the separate branches  to exceed the limits of its power.”</w:t>
      </w:r>
      <w:r w:rsidRPr="00FC2C06">
        <w:rPr>
          <w:rStyle w:val="FootnoteReference"/>
          <w:rFonts w:ascii="Times New Roman" w:hAnsi="Times New Roman" w:cs="Times New Roman"/>
          <w:sz w:val="26"/>
          <w:szCs w:val="26"/>
        </w:rPr>
        <w:footnoteReference w:id="125"/>
      </w:r>
      <w:r w:rsidRPr="00FC2C06">
        <w:rPr>
          <w:rFonts w:ascii="Times New Roman" w:hAnsi="Times New Roman" w:cs="Times New Roman"/>
          <w:sz w:val="26"/>
          <w:szCs w:val="26"/>
        </w:rPr>
        <w:t xml:space="preserve"> Justice Kennedy, in his concurrence in the Line Item Veto Case, saw the issue there as </w:t>
      </w:r>
      <w:proofErr w:type="gramStart"/>
      <w:r w:rsidRPr="00FC2C06">
        <w:rPr>
          <w:rFonts w:ascii="Times New Roman" w:hAnsi="Times New Roman" w:cs="Times New Roman"/>
          <w:sz w:val="26"/>
          <w:szCs w:val="26"/>
        </w:rPr>
        <w:t>raising  just</w:t>
      </w:r>
      <w:proofErr w:type="gramEnd"/>
      <w:r w:rsidRPr="00FC2C06">
        <w:rPr>
          <w:rFonts w:ascii="Times New Roman" w:hAnsi="Times New Roman" w:cs="Times New Roman"/>
          <w:sz w:val="26"/>
          <w:szCs w:val="26"/>
        </w:rPr>
        <w:t xml:space="preserve"> the structural concerns the Framers feared most: a concentration of power in the hands of a single branch  as a threat to liberty. </w:t>
      </w:r>
      <w:r>
        <w:rPr>
          <w:rFonts w:ascii="Times New Roman" w:hAnsi="Times New Roman" w:cs="Times New Roman"/>
          <w:sz w:val="26"/>
          <w:szCs w:val="26"/>
        </w:rPr>
        <w:t xml:space="preserve"> </w:t>
      </w:r>
      <w:r w:rsidRPr="00FC2C06">
        <w:rPr>
          <w:rFonts w:ascii="Times New Roman" w:hAnsi="Times New Roman" w:cs="Times New Roman"/>
          <w:sz w:val="26"/>
          <w:szCs w:val="26"/>
        </w:rPr>
        <w:t>He stated:</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880487">
      <w:pPr>
        <w:spacing w:after="0" w:line="240" w:lineRule="auto"/>
        <w:ind w:left="720" w:right="720"/>
        <w:contextualSpacing/>
        <w:rPr>
          <w:rFonts w:ascii="Times New Roman" w:hAnsi="Times New Roman" w:cs="Times New Roman"/>
          <w:sz w:val="26"/>
          <w:szCs w:val="26"/>
        </w:rPr>
      </w:pPr>
      <w:r w:rsidRPr="00FC2C06">
        <w:rPr>
          <w:rFonts w:ascii="Times New Roman" w:hAnsi="Times New Roman" w:cs="Times New Roman"/>
          <w:sz w:val="26"/>
          <w:szCs w:val="26"/>
        </w:rPr>
        <w:t>To say that the political branches have a somewhat free hand to reallocate</w:t>
      </w:r>
      <w:r>
        <w:rPr>
          <w:rFonts w:ascii="Times New Roman" w:hAnsi="Times New Roman" w:cs="Times New Roman"/>
          <w:sz w:val="26"/>
          <w:szCs w:val="26"/>
        </w:rPr>
        <w:t xml:space="preserve"> </w:t>
      </w:r>
      <w:r w:rsidRPr="00FC2C06">
        <w:rPr>
          <w:rFonts w:ascii="Times New Roman" w:hAnsi="Times New Roman" w:cs="Times New Roman"/>
          <w:sz w:val="26"/>
          <w:szCs w:val="26"/>
        </w:rPr>
        <w:t>their own authority would seem to require the acceptance of two premises: first, that the public good demands it, and second, that liberty is not at risk.</w:t>
      </w:r>
      <w:r>
        <w:rPr>
          <w:rFonts w:ascii="Times New Roman" w:hAnsi="Times New Roman" w:cs="Times New Roman"/>
          <w:sz w:val="26"/>
          <w:szCs w:val="26"/>
        </w:rPr>
        <w:t xml:space="preserve"> </w:t>
      </w:r>
      <w:r w:rsidRPr="00FC2C06">
        <w:rPr>
          <w:rFonts w:ascii="Times New Roman" w:hAnsi="Times New Roman" w:cs="Times New Roman"/>
          <w:sz w:val="26"/>
          <w:szCs w:val="26"/>
        </w:rPr>
        <w:t>The former premise is inadmissible. The Constitution</w:t>
      </w:r>
      <w:r w:rsidR="00116836">
        <w:rPr>
          <w:rFonts w:ascii="Times New Roman" w:hAnsi="Times New Roman" w:cs="Times New Roman"/>
          <w:sz w:val="26"/>
          <w:szCs w:val="26"/>
        </w:rPr>
        <w:t>’</w:t>
      </w:r>
      <w:r w:rsidRPr="00FC2C06">
        <w:rPr>
          <w:rFonts w:ascii="Times New Roman" w:hAnsi="Times New Roman" w:cs="Times New Roman"/>
          <w:sz w:val="26"/>
          <w:szCs w:val="26"/>
        </w:rPr>
        <w:t>s structure requires a stability which transcends the convenience of the moment…</w:t>
      </w:r>
      <w:proofErr w:type="gramStart"/>
      <w:r w:rsidRPr="00FC2C06">
        <w:rPr>
          <w:rFonts w:ascii="Times New Roman" w:hAnsi="Times New Roman" w:cs="Times New Roman"/>
          <w:sz w:val="26"/>
          <w:szCs w:val="26"/>
        </w:rPr>
        <w:t>.The</w:t>
      </w:r>
      <w:proofErr w:type="gramEnd"/>
      <w:r w:rsidRPr="00FC2C06">
        <w:rPr>
          <w:rFonts w:ascii="Times New Roman" w:hAnsi="Times New Roman" w:cs="Times New Roman"/>
          <w:sz w:val="26"/>
          <w:szCs w:val="26"/>
        </w:rPr>
        <w:t xml:space="preserve"> latter premise, too, is flawed. Liberty is always at stake when one or more </w:t>
      </w:r>
      <w:proofErr w:type="gramStart"/>
      <w:r w:rsidRPr="00FC2C06">
        <w:rPr>
          <w:rFonts w:ascii="Times New Roman" w:hAnsi="Times New Roman" w:cs="Times New Roman"/>
          <w:sz w:val="26"/>
          <w:szCs w:val="26"/>
        </w:rPr>
        <w:t>branches  seek</w:t>
      </w:r>
      <w:proofErr w:type="gramEnd"/>
      <w:r w:rsidRPr="00FC2C06">
        <w:rPr>
          <w:rFonts w:ascii="Times New Roman" w:hAnsi="Times New Roman" w:cs="Times New Roman"/>
          <w:sz w:val="26"/>
          <w:szCs w:val="26"/>
        </w:rPr>
        <w:t xml:space="preserve"> to  transgress the separation of powers.</w:t>
      </w:r>
      <w:r w:rsidRPr="00FC2C06">
        <w:rPr>
          <w:rStyle w:val="FootnoteReference"/>
          <w:rFonts w:ascii="Times New Roman" w:hAnsi="Times New Roman" w:cs="Times New Roman"/>
          <w:sz w:val="26"/>
          <w:szCs w:val="26"/>
        </w:rPr>
        <w:footnoteReference w:id="126"/>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liberty interest </w:t>
      </w:r>
      <w:r>
        <w:rPr>
          <w:rFonts w:ascii="Times New Roman" w:hAnsi="Times New Roman" w:cs="Times New Roman"/>
          <w:sz w:val="26"/>
          <w:szCs w:val="26"/>
        </w:rPr>
        <w:t xml:space="preserve">at stake </w:t>
      </w:r>
      <w:r w:rsidRPr="00FC2C06">
        <w:rPr>
          <w:rFonts w:ascii="Times New Roman" w:hAnsi="Times New Roman" w:cs="Times New Roman"/>
          <w:sz w:val="26"/>
          <w:szCs w:val="26"/>
        </w:rPr>
        <w:t xml:space="preserve">is dramatically evident in present situation. The President, by exercising an invalid recess appointment power, is evading the presidential </w:t>
      </w:r>
      <w:r w:rsidRPr="00FC2C06">
        <w:rPr>
          <w:rFonts w:ascii="Times New Roman" w:hAnsi="Times New Roman" w:cs="Times New Roman"/>
          <w:sz w:val="26"/>
          <w:szCs w:val="26"/>
        </w:rPr>
        <w:lastRenderedPageBreak/>
        <w:t>obligation to seek advice and consent of the Senate for four principal officers of the United States</w:t>
      </w:r>
      <w:r>
        <w:rPr>
          <w:rFonts w:ascii="Times New Roman" w:hAnsi="Times New Roman" w:cs="Times New Roman"/>
          <w:sz w:val="26"/>
          <w:szCs w:val="26"/>
        </w:rPr>
        <w:t>.  He is</w:t>
      </w:r>
      <w:r w:rsidRPr="00FC2C06">
        <w:rPr>
          <w:rFonts w:ascii="Times New Roman" w:hAnsi="Times New Roman" w:cs="Times New Roman"/>
          <w:sz w:val="26"/>
          <w:szCs w:val="26"/>
        </w:rPr>
        <w:t xml:space="preserve"> </w:t>
      </w:r>
      <w:r w:rsidR="00D0551E">
        <w:rPr>
          <w:rFonts w:ascii="Times New Roman" w:hAnsi="Times New Roman" w:cs="Times New Roman"/>
          <w:sz w:val="26"/>
          <w:szCs w:val="26"/>
        </w:rPr>
        <w:t>undermin</w:t>
      </w:r>
      <w:r w:rsidRPr="00FC2C06">
        <w:rPr>
          <w:rFonts w:ascii="Times New Roman" w:hAnsi="Times New Roman" w:cs="Times New Roman"/>
          <w:sz w:val="26"/>
          <w:szCs w:val="26"/>
        </w:rPr>
        <w:t>ing senatorial power by ignoring the constitutional design that vests in “the Senate alone…final unreviewable power to approve or disapprove Presidential appointments.”</w:t>
      </w:r>
      <w:r w:rsidRPr="00FC2C06">
        <w:rPr>
          <w:rStyle w:val="FootnoteReference"/>
          <w:rFonts w:ascii="Times New Roman" w:hAnsi="Times New Roman" w:cs="Times New Roman"/>
          <w:sz w:val="26"/>
          <w:szCs w:val="26"/>
        </w:rPr>
        <w:footnoteReference w:id="127"/>
      </w:r>
      <w:r w:rsidRPr="00FC2C06">
        <w:rPr>
          <w:rFonts w:ascii="Times New Roman" w:hAnsi="Times New Roman" w:cs="Times New Roman"/>
          <w:sz w:val="26"/>
          <w:szCs w:val="26"/>
        </w:rPr>
        <w:t xml:space="preserve"> The action puts in place officials </w:t>
      </w:r>
      <w:r>
        <w:rPr>
          <w:rFonts w:ascii="Times New Roman" w:hAnsi="Times New Roman" w:cs="Times New Roman"/>
          <w:sz w:val="26"/>
          <w:szCs w:val="26"/>
        </w:rPr>
        <w:t xml:space="preserve">with </w:t>
      </w:r>
      <w:r w:rsidRPr="00FC2C06">
        <w:rPr>
          <w:rFonts w:ascii="Times New Roman" w:hAnsi="Times New Roman" w:cs="Times New Roman"/>
          <w:sz w:val="26"/>
          <w:szCs w:val="26"/>
        </w:rPr>
        <w:t xml:space="preserve">no legal authority to affect the rights, duties and obligations of persons purportedly subject to their authority.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Preservation of the Constitution’s delicate sharing of appointment authority between the branches, and the </w:t>
      </w:r>
      <w:proofErr w:type="gramStart"/>
      <w:r>
        <w:rPr>
          <w:rFonts w:ascii="Times New Roman" w:hAnsi="Times New Roman" w:cs="Times New Roman"/>
          <w:sz w:val="26"/>
          <w:szCs w:val="26"/>
        </w:rPr>
        <w:t xml:space="preserve">Constitution’s </w:t>
      </w:r>
      <w:r w:rsidRPr="00FC2C06">
        <w:rPr>
          <w:rFonts w:ascii="Times New Roman" w:hAnsi="Times New Roman" w:cs="Times New Roman"/>
          <w:sz w:val="26"/>
          <w:szCs w:val="26"/>
        </w:rPr>
        <w:t xml:space="preserve"> commitment</w:t>
      </w:r>
      <w:proofErr w:type="gramEnd"/>
      <w:r w:rsidRPr="00FC2C06">
        <w:rPr>
          <w:rFonts w:ascii="Times New Roman" w:hAnsi="Times New Roman" w:cs="Times New Roman"/>
          <w:sz w:val="26"/>
          <w:szCs w:val="26"/>
        </w:rPr>
        <w:t xml:space="preserve"> </w:t>
      </w:r>
      <w:r>
        <w:rPr>
          <w:rFonts w:ascii="Times New Roman" w:hAnsi="Times New Roman" w:cs="Times New Roman"/>
          <w:sz w:val="26"/>
          <w:szCs w:val="26"/>
        </w:rPr>
        <w:t>to each House of Power to prescribe its own rules of procedure (</w:t>
      </w:r>
      <w:r w:rsidRPr="00FC2C06">
        <w:rPr>
          <w:rFonts w:ascii="Times New Roman" w:hAnsi="Times New Roman" w:cs="Times New Roman"/>
          <w:sz w:val="26"/>
          <w:szCs w:val="26"/>
        </w:rPr>
        <w:t>including the decision to convene pro forma sessions</w:t>
      </w:r>
      <w:r>
        <w:rPr>
          <w:rFonts w:ascii="Times New Roman" w:hAnsi="Times New Roman" w:cs="Times New Roman"/>
          <w:sz w:val="26"/>
          <w:szCs w:val="26"/>
        </w:rPr>
        <w:t xml:space="preserve"> in order to prevent recess appointments), </w:t>
      </w:r>
      <w:r w:rsidRPr="00FC2C06">
        <w:rPr>
          <w:rFonts w:ascii="Times New Roman" w:hAnsi="Times New Roman" w:cs="Times New Roman"/>
          <w:sz w:val="26"/>
          <w:szCs w:val="26"/>
        </w:rPr>
        <w:t>will be a significant factor</w:t>
      </w:r>
      <w:r>
        <w:rPr>
          <w:rFonts w:ascii="Times New Roman" w:hAnsi="Times New Roman" w:cs="Times New Roman"/>
          <w:sz w:val="26"/>
          <w:szCs w:val="26"/>
        </w:rPr>
        <w:t>s</w:t>
      </w:r>
      <w:r w:rsidRPr="00FC2C06">
        <w:rPr>
          <w:rFonts w:ascii="Times New Roman" w:hAnsi="Times New Roman" w:cs="Times New Roman"/>
          <w:sz w:val="26"/>
          <w:szCs w:val="26"/>
        </w:rPr>
        <w:t xml:space="preserve"> that may motivate a court to reject the President’s apparent attempt to “accrete these powers to a single branch.”</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 xml:space="preserve">VII. </w:t>
      </w:r>
      <w:r w:rsidRPr="00FC2C06">
        <w:rPr>
          <w:rFonts w:ascii="Times New Roman" w:hAnsi="Times New Roman" w:cs="Times New Roman"/>
          <w:sz w:val="26"/>
          <w:szCs w:val="26"/>
        </w:rPr>
        <w:tab/>
      </w:r>
      <w:r w:rsidRPr="00DE4972">
        <w:rPr>
          <w:rFonts w:ascii="Times New Roman" w:hAnsi="Times New Roman" w:cs="Times New Roman"/>
          <w:sz w:val="26"/>
          <w:szCs w:val="26"/>
          <w:u w:val="single"/>
        </w:rPr>
        <w:t xml:space="preserve">Ramifications of a </w:t>
      </w:r>
      <w:proofErr w:type="gramStart"/>
      <w:r w:rsidRPr="00DE4972">
        <w:rPr>
          <w:rFonts w:ascii="Times New Roman" w:hAnsi="Times New Roman" w:cs="Times New Roman"/>
          <w:sz w:val="26"/>
          <w:szCs w:val="26"/>
          <w:u w:val="single"/>
        </w:rPr>
        <w:t>Court  Ruling</w:t>
      </w:r>
      <w:proofErr w:type="gramEnd"/>
      <w:r w:rsidRPr="00DE4972">
        <w:rPr>
          <w:rFonts w:ascii="Times New Roman" w:hAnsi="Times New Roman" w:cs="Times New Roman"/>
          <w:sz w:val="26"/>
          <w:szCs w:val="26"/>
          <w:u w:val="single"/>
        </w:rPr>
        <w:t xml:space="preserve"> That Nullifies the President’s Recess</w:t>
      </w:r>
      <w:r w:rsidRPr="00FC2C06">
        <w:rPr>
          <w:rFonts w:ascii="Times New Roman" w:hAnsi="Times New Roman" w:cs="Times New Roman"/>
          <w:sz w:val="26"/>
          <w:szCs w:val="26"/>
        </w:rPr>
        <w:t xml:space="preserve"> </w:t>
      </w:r>
      <w:r>
        <w:rPr>
          <w:rFonts w:ascii="Times New Roman" w:hAnsi="Times New Roman" w:cs="Times New Roman"/>
          <w:sz w:val="26"/>
          <w:szCs w:val="26"/>
        </w:rPr>
        <w:tab/>
      </w:r>
      <w:r w:rsidRPr="00DE4972">
        <w:rPr>
          <w:rFonts w:ascii="Times New Roman" w:hAnsi="Times New Roman" w:cs="Times New Roman"/>
          <w:sz w:val="26"/>
          <w:szCs w:val="26"/>
          <w:u w:val="single"/>
        </w:rPr>
        <w:t>Appointments</w:t>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r>
      <w:r w:rsidR="00243C04">
        <w:rPr>
          <w:rFonts w:ascii="Times New Roman" w:hAnsi="Times New Roman" w:cs="Times New Roman"/>
          <w:sz w:val="26"/>
          <w:szCs w:val="26"/>
        </w:rPr>
        <w:t>The Supreme Court and f</w:t>
      </w:r>
      <w:r w:rsidRPr="00FC2C06">
        <w:rPr>
          <w:rFonts w:ascii="Times New Roman" w:hAnsi="Times New Roman" w:cs="Times New Roman"/>
          <w:sz w:val="26"/>
          <w:szCs w:val="26"/>
        </w:rPr>
        <w:t xml:space="preserve">ederal appellate and district courts have recognized the right and standing of persons </w:t>
      </w:r>
      <w:r>
        <w:rPr>
          <w:rFonts w:ascii="Times New Roman" w:hAnsi="Times New Roman" w:cs="Times New Roman"/>
          <w:sz w:val="26"/>
          <w:szCs w:val="26"/>
        </w:rPr>
        <w:t xml:space="preserve">suffering a legally cognizable injury </w:t>
      </w:r>
      <w:r w:rsidRPr="00FC2C06">
        <w:rPr>
          <w:rFonts w:ascii="Times New Roman" w:hAnsi="Times New Roman" w:cs="Times New Roman"/>
          <w:sz w:val="26"/>
          <w:szCs w:val="26"/>
        </w:rPr>
        <w:t>to seek legal redress from alleged violations of the Appointments Clause.</w:t>
      </w:r>
      <w:r>
        <w:rPr>
          <w:rStyle w:val="FootnoteReference"/>
          <w:rFonts w:ascii="Times New Roman" w:hAnsi="Times New Roman" w:cs="Times New Roman"/>
          <w:sz w:val="26"/>
          <w:szCs w:val="26"/>
        </w:rPr>
        <w:footnoteReference w:id="128"/>
      </w:r>
      <w:r w:rsidRPr="00FC2C06">
        <w:rPr>
          <w:rFonts w:ascii="Times New Roman" w:hAnsi="Times New Roman" w:cs="Times New Roman"/>
          <w:sz w:val="26"/>
          <w:szCs w:val="26"/>
        </w:rPr>
        <w:t xml:space="preserve"> The essence of </w:t>
      </w:r>
      <w:proofErr w:type="gramStart"/>
      <w:r w:rsidRPr="00FC2C06">
        <w:rPr>
          <w:rFonts w:ascii="Times New Roman" w:hAnsi="Times New Roman" w:cs="Times New Roman"/>
          <w:sz w:val="26"/>
          <w:szCs w:val="26"/>
        </w:rPr>
        <w:t>these  claims</w:t>
      </w:r>
      <w:proofErr w:type="gramEnd"/>
      <w:r w:rsidRPr="00FC2C06">
        <w:rPr>
          <w:rFonts w:ascii="Times New Roman" w:hAnsi="Times New Roman" w:cs="Times New Roman"/>
          <w:sz w:val="26"/>
          <w:szCs w:val="26"/>
        </w:rPr>
        <w:t xml:space="preserve"> is that under the Constitution  a person cannot be subject to government regulation when the appointed official lacks the legal authority to act. The injury to be redressed is the potential threat that the government is acting against a person through an official with no lawful authority to so act.</w:t>
      </w:r>
      <w:r w:rsidR="002D01EB">
        <w:rPr>
          <w:rFonts w:ascii="Times New Roman" w:hAnsi="Times New Roman" w:cs="Times New Roman"/>
          <w:sz w:val="26"/>
          <w:szCs w:val="26"/>
        </w:rPr>
        <w:t>”</w:t>
      </w:r>
      <w:r w:rsidRPr="00FC2C06">
        <w:rPr>
          <w:rFonts w:ascii="Times New Roman" w:hAnsi="Times New Roman" w:cs="Times New Roman"/>
          <w:sz w:val="26"/>
          <w:szCs w:val="26"/>
        </w:rPr>
        <w:t>[</w:t>
      </w:r>
      <w:proofErr w:type="gramStart"/>
      <w:r w:rsidRPr="00FC2C06">
        <w:rPr>
          <w:rFonts w:ascii="Times New Roman" w:hAnsi="Times New Roman" w:cs="Times New Roman"/>
          <w:sz w:val="26"/>
          <w:szCs w:val="26"/>
        </w:rPr>
        <w:t>J]udicial</w:t>
      </w:r>
      <w:proofErr w:type="gramEnd"/>
      <w:r w:rsidRPr="00FC2C06">
        <w:rPr>
          <w:rFonts w:ascii="Times New Roman" w:hAnsi="Times New Roman" w:cs="Times New Roman"/>
          <w:sz w:val="26"/>
          <w:szCs w:val="26"/>
        </w:rPr>
        <w:t xml:space="preserve">  review of an Appointments Clause claim will proceed even where any possible injury is radically attenuated.”</w:t>
      </w:r>
      <w:r w:rsidRPr="00FC2C06">
        <w:rPr>
          <w:rStyle w:val="FootnoteReference"/>
          <w:rFonts w:ascii="Times New Roman" w:hAnsi="Times New Roman" w:cs="Times New Roman"/>
          <w:sz w:val="26"/>
          <w:szCs w:val="26"/>
        </w:rPr>
        <w:footnoteReference w:id="129"/>
      </w:r>
      <w:r w:rsidRPr="00FC2C06">
        <w:rPr>
          <w:rFonts w:ascii="Times New Roman" w:hAnsi="Times New Roman" w:cs="Times New Roman"/>
          <w:sz w:val="26"/>
          <w:szCs w:val="26"/>
        </w:rPr>
        <w:t xml:space="preserve">  The Supreme Court has held that the </w:t>
      </w:r>
      <w:r w:rsidRPr="00FC2C06">
        <w:rPr>
          <w:rFonts w:ascii="Times New Roman" w:hAnsi="Times New Roman" w:cs="Times New Roman"/>
          <w:i/>
          <w:iCs/>
          <w:sz w:val="26"/>
          <w:szCs w:val="26"/>
        </w:rPr>
        <w:t xml:space="preserve">de facto </w:t>
      </w:r>
      <w:r w:rsidRPr="00FC2C06">
        <w:rPr>
          <w:rFonts w:ascii="Times New Roman" w:hAnsi="Times New Roman" w:cs="Times New Roman"/>
          <w:sz w:val="26"/>
          <w:szCs w:val="26"/>
        </w:rPr>
        <w:t>doctrine</w:t>
      </w:r>
      <w:r>
        <w:rPr>
          <w:rStyle w:val="FootnoteReference"/>
          <w:rFonts w:ascii="Times New Roman" w:hAnsi="Times New Roman" w:cs="Times New Roman"/>
          <w:sz w:val="26"/>
          <w:szCs w:val="26"/>
        </w:rPr>
        <w:footnoteReference w:id="130"/>
      </w:r>
      <w:r w:rsidRPr="00FC2C06">
        <w:rPr>
          <w:rFonts w:ascii="Times New Roman" w:hAnsi="Times New Roman" w:cs="Times New Roman"/>
          <w:sz w:val="26"/>
          <w:szCs w:val="26"/>
        </w:rPr>
        <w:t xml:space="preserve"> will not apply to a successful plaintiff in such a challenge.</w:t>
      </w:r>
      <w:r w:rsidRPr="00FC2C06">
        <w:rPr>
          <w:rStyle w:val="FootnoteReference"/>
          <w:rFonts w:ascii="Times New Roman" w:hAnsi="Times New Roman" w:cs="Times New Roman"/>
          <w:sz w:val="26"/>
          <w:szCs w:val="26"/>
        </w:rPr>
        <w:footnoteReference w:id="131"/>
      </w:r>
      <w:r w:rsidRPr="00FC2C06">
        <w:rPr>
          <w:rFonts w:ascii="Times New Roman" w:hAnsi="Times New Roman" w:cs="Times New Roman"/>
          <w:sz w:val="26"/>
          <w:szCs w:val="26"/>
        </w:rPr>
        <w:t xml:space="preserve"> But whether a successful Appointments Clause challenge will be given retroactive effect appears to be a matter </w:t>
      </w:r>
      <w:proofErr w:type="gramStart"/>
      <w:r>
        <w:rPr>
          <w:rFonts w:ascii="Times New Roman" w:hAnsi="Times New Roman" w:cs="Times New Roman"/>
          <w:sz w:val="26"/>
          <w:szCs w:val="26"/>
        </w:rPr>
        <w:t xml:space="preserve">of </w:t>
      </w:r>
      <w:r w:rsidRPr="00FC2C06">
        <w:rPr>
          <w:rFonts w:ascii="Times New Roman" w:hAnsi="Times New Roman" w:cs="Times New Roman"/>
          <w:sz w:val="26"/>
          <w:szCs w:val="26"/>
        </w:rPr>
        <w:t xml:space="preserve"> remedial</w:t>
      </w:r>
      <w:proofErr w:type="gramEnd"/>
      <w:r w:rsidRPr="00FC2C06">
        <w:rPr>
          <w:rFonts w:ascii="Times New Roman" w:hAnsi="Times New Roman" w:cs="Times New Roman"/>
          <w:sz w:val="26"/>
          <w:szCs w:val="26"/>
        </w:rPr>
        <w:t xml:space="preserve"> discretion. In </w:t>
      </w:r>
      <w:r w:rsidRPr="00FC2C06">
        <w:rPr>
          <w:rFonts w:ascii="Times New Roman" w:hAnsi="Times New Roman" w:cs="Times New Roman"/>
          <w:i/>
          <w:iCs/>
          <w:sz w:val="26"/>
          <w:szCs w:val="26"/>
        </w:rPr>
        <w:t>Buckley v. Valeo,</w:t>
      </w:r>
      <w:r w:rsidRPr="00FC2C06">
        <w:rPr>
          <w:rStyle w:val="FootnoteReference"/>
          <w:rFonts w:ascii="Times New Roman" w:hAnsi="Times New Roman" w:cs="Times New Roman"/>
          <w:i/>
          <w:iCs/>
          <w:sz w:val="26"/>
          <w:szCs w:val="26"/>
        </w:rPr>
        <w:footnoteReference w:id="132"/>
      </w:r>
      <w:r w:rsidRPr="00FC2C06">
        <w:rPr>
          <w:rFonts w:ascii="Times New Roman" w:hAnsi="Times New Roman" w:cs="Times New Roman"/>
          <w:sz w:val="26"/>
          <w:szCs w:val="26"/>
        </w:rPr>
        <w:t xml:space="preserve"> which struck down congressional appointments to the Federal Election Commission, the Court upheld all the past acts of the Commission as valid under the </w:t>
      </w:r>
      <w:r w:rsidRPr="00FC2C06">
        <w:rPr>
          <w:rFonts w:ascii="Times New Roman" w:hAnsi="Times New Roman" w:cs="Times New Roman"/>
          <w:i/>
          <w:iCs/>
          <w:sz w:val="26"/>
          <w:szCs w:val="26"/>
        </w:rPr>
        <w:t xml:space="preserve">de facto </w:t>
      </w:r>
      <w:r w:rsidRPr="00FC2C06">
        <w:rPr>
          <w:rFonts w:ascii="Times New Roman" w:hAnsi="Times New Roman" w:cs="Times New Roman"/>
          <w:sz w:val="26"/>
          <w:szCs w:val="26"/>
        </w:rPr>
        <w:t>doctrine. In other instances it has stayed its remedial action to allow Congress a limited time to construct a legislative remedy.</w:t>
      </w:r>
    </w:p>
    <w:p w:rsidR="00E7229A" w:rsidRPr="00FC2C06" w:rsidRDefault="00E7229A" w:rsidP="00D067DB">
      <w:pPr>
        <w:spacing w:after="0" w:line="240" w:lineRule="auto"/>
        <w:rPr>
          <w:rFonts w:ascii="Times New Roman" w:hAnsi="Times New Roman" w:cs="Times New Roman"/>
          <w:sz w:val="26"/>
          <w:szCs w:val="26"/>
        </w:rPr>
      </w:pPr>
    </w:p>
    <w:p w:rsidR="00E7229A"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lastRenderedPageBreak/>
        <w:tab/>
        <w:t xml:space="preserve">Adverse court rulings may present unique problems in addition to the foreseeable disruptive effects on the operations at both the CFPB and the NLRB. The judicial challenges </w:t>
      </w:r>
      <w:r>
        <w:rPr>
          <w:rFonts w:ascii="Times New Roman" w:hAnsi="Times New Roman" w:cs="Times New Roman"/>
          <w:sz w:val="26"/>
          <w:szCs w:val="26"/>
        </w:rPr>
        <w:t xml:space="preserve">will </w:t>
      </w:r>
      <w:r w:rsidRPr="00FC2C06">
        <w:rPr>
          <w:rFonts w:ascii="Times New Roman" w:hAnsi="Times New Roman" w:cs="Times New Roman"/>
          <w:sz w:val="26"/>
          <w:szCs w:val="26"/>
        </w:rPr>
        <w:t>create uncertainty amongst those regulated by the agencies</w:t>
      </w:r>
      <w:r>
        <w:rPr>
          <w:rFonts w:ascii="Times New Roman" w:hAnsi="Times New Roman" w:cs="Times New Roman"/>
          <w:sz w:val="26"/>
          <w:szCs w:val="26"/>
        </w:rPr>
        <w:t>.  These challenge</w:t>
      </w:r>
      <w:r w:rsidR="00CE7FA9">
        <w:rPr>
          <w:rFonts w:ascii="Times New Roman" w:hAnsi="Times New Roman" w:cs="Times New Roman"/>
          <w:sz w:val="26"/>
          <w:szCs w:val="26"/>
        </w:rPr>
        <w:t>s</w:t>
      </w:r>
      <w:r>
        <w:rPr>
          <w:rFonts w:ascii="Times New Roman" w:hAnsi="Times New Roman" w:cs="Times New Roman"/>
          <w:sz w:val="26"/>
          <w:szCs w:val="26"/>
        </w:rPr>
        <w:t xml:space="preserve"> could also affect</w:t>
      </w:r>
      <w:r w:rsidRPr="00FC2C06">
        <w:rPr>
          <w:rFonts w:ascii="Times New Roman" w:hAnsi="Times New Roman" w:cs="Times New Roman"/>
          <w:sz w:val="26"/>
          <w:szCs w:val="26"/>
        </w:rPr>
        <w:t xml:space="preserve"> the regulators</w:t>
      </w:r>
      <w:proofErr w:type="gramStart"/>
      <w:r>
        <w:rPr>
          <w:rFonts w:ascii="Times New Roman" w:hAnsi="Times New Roman" w:cs="Times New Roman"/>
          <w:sz w:val="26"/>
          <w:szCs w:val="26"/>
        </w:rPr>
        <w:t xml:space="preserve">, </w:t>
      </w:r>
      <w:r w:rsidRPr="00FC2C06">
        <w:rPr>
          <w:rFonts w:ascii="Times New Roman" w:hAnsi="Times New Roman" w:cs="Times New Roman"/>
          <w:sz w:val="26"/>
          <w:szCs w:val="26"/>
        </w:rPr>
        <w:t xml:space="preserve"> who</w:t>
      </w:r>
      <w:proofErr w:type="gramEnd"/>
      <w:r w:rsidRPr="00FC2C06">
        <w:rPr>
          <w:rFonts w:ascii="Times New Roman" w:hAnsi="Times New Roman" w:cs="Times New Roman"/>
          <w:sz w:val="26"/>
          <w:szCs w:val="26"/>
        </w:rPr>
        <w:t xml:space="preserve"> may limit the</w:t>
      </w:r>
      <w:r>
        <w:rPr>
          <w:rFonts w:ascii="Times New Roman" w:hAnsi="Times New Roman" w:cs="Times New Roman"/>
          <w:sz w:val="26"/>
          <w:szCs w:val="26"/>
        </w:rPr>
        <w:t>ir actions over</w:t>
      </w:r>
      <w:r w:rsidRPr="00FC2C06">
        <w:rPr>
          <w:rFonts w:ascii="Times New Roman" w:hAnsi="Times New Roman" w:cs="Times New Roman"/>
          <w:sz w:val="26"/>
          <w:szCs w:val="26"/>
        </w:rPr>
        <w:t xml:space="preserve"> concerns </w:t>
      </w:r>
      <w:r>
        <w:rPr>
          <w:rFonts w:ascii="Times New Roman" w:hAnsi="Times New Roman" w:cs="Times New Roman"/>
          <w:sz w:val="26"/>
          <w:szCs w:val="26"/>
        </w:rPr>
        <w:t xml:space="preserve">of their legal status. </w:t>
      </w:r>
      <w:r w:rsidRPr="00FC2C06">
        <w:rPr>
          <w:rFonts w:ascii="Times New Roman" w:hAnsi="Times New Roman" w:cs="Times New Roman"/>
          <w:sz w:val="26"/>
          <w:szCs w:val="26"/>
        </w:rPr>
        <w:t>Certainly agency leverage in bargaining settlements will be diminished.  The recent experience at the NLRB is cautionary.</w:t>
      </w:r>
    </w:p>
    <w:p w:rsidR="00E7229A"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FC2C06">
        <w:rPr>
          <w:rFonts w:ascii="Times New Roman" w:hAnsi="Times New Roman" w:cs="Times New Roman"/>
          <w:sz w:val="26"/>
          <w:szCs w:val="26"/>
        </w:rPr>
        <w:t xml:space="preserve"> After the Supreme Court</w:t>
      </w:r>
      <w:r>
        <w:rPr>
          <w:rFonts w:ascii="Times New Roman" w:hAnsi="Times New Roman" w:cs="Times New Roman"/>
          <w:sz w:val="26"/>
          <w:szCs w:val="26"/>
        </w:rPr>
        <w:t xml:space="preserve"> determined that the NLRB </w:t>
      </w:r>
      <w:r w:rsidRPr="00FC2C06">
        <w:rPr>
          <w:rFonts w:ascii="Times New Roman" w:hAnsi="Times New Roman" w:cs="Times New Roman"/>
          <w:sz w:val="26"/>
          <w:szCs w:val="26"/>
        </w:rPr>
        <w:t xml:space="preserve">had been operating for two and a half years </w:t>
      </w:r>
      <w:r>
        <w:rPr>
          <w:rFonts w:ascii="Times New Roman" w:hAnsi="Times New Roman" w:cs="Times New Roman"/>
          <w:sz w:val="26"/>
          <w:szCs w:val="26"/>
        </w:rPr>
        <w:t>without a quorum, the Court</w:t>
      </w:r>
      <w:r w:rsidRPr="00FC2C06">
        <w:rPr>
          <w:rFonts w:ascii="Times New Roman" w:hAnsi="Times New Roman" w:cs="Times New Roman"/>
          <w:sz w:val="26"/>
          <w:szCs w:val="26"/>
        </w:rPr>
        <w:t xml:space="preserve"> remanded the </w:t>
      </w:r>
      <w:r>
        <w:rPr>
          <w:rFonts w:ascii="Times New Roman" w:hAnsi="Times New Roman" w:cs="Times New Roman"/>
          <w:sz w:val="26"/>
          <w:szCs w:val="26"/>
        </w:rPr>
        <w:t xml:space="preserve">matter to the court of appeals. </w:t>
      </w:r>
      <w:r w:rsidRPr="00FC2C06">
        <w:rPr>
          <w:rFonts w:ascii="Times New Roman" w:hAnsi="Times New Roman" w:cs="Times New Roman"/>
          <w:sz w:val="26"/>
          <w:szCs w:val="26"/>
        </w:rPr>
        <w:t xml:space="preserve"> The </w:t>
      </w:r>
      <w:r>
        <w:rPr>
          <w:rFonts w:ascii="Times New Roman" w:hAnsi="Times New Roman" w:cs="Times New Roman"/>
          <w:sz w:val="26"/>
          <w:szCs w:val="26"/>
        </w:rPr>
        <w:t xml:space="preserve">Supreme </w:t>
      </w:r>
      <w:r w:rsidRPr="00FC2C06">
        <w:rPr>
          <w:rFonts w:ascii="Times New Roman" w:hAnsi="Times New Roman" w:cs="Times New Roman"/>
          <w:sz w:val="26"/>
          <w:szCs w:val="26"/>
        </w:rPr>
        <w:t>Court understood that its decision called into question nearly 600 adjudicatory rulings</w:t>
      </w:r>
      <w:r>
        <w:rPr>
          <w:rFonts w:ascii="Times New Roman" w:hAnsi="Times New Roman" w:cs="Times New Roman"/>
          <w:sz w:val="26"/>
          <w:szCs w:val="26"/>
        </w:rPr>
        <w:t xml:space="preserve">, </w:t>
      </w:r>
      <w:r w:rsidRPr="00FC2C06">
        <w:rPr>
          <w:rFonts w:ascii="Times New Roman" w:hAnsi="Times New Roman" w:cs="Times New Roman"/>
          <w:sz w:val="26"/>
          <w:szCs w:val="26"/>
        </w:rPr>
        <w:t xml:space="preserve">including 96 that were pending appeal in various federal courts. </w:t>
      </w:r>
      <w:r>
        <w:rPr>
          <w:rFonts w:ascii="Times New Roman" w:hAnsi="Times New Roman" w:cs="Times New Roman"/>
          <w:sz w:val="26"/>
          <w:szCs w:val="26"/>
        </w:rPr>
        <w:t xml:space="preserve">After the NLRB obtained the necessary </w:t>
      </w:r>
      <w:r w:rsidRPr="00FC2C06">
        <w:rPr>
          <w:rFonts w:ascii="Times New Roman" w:hAnsi="Times New Roman" w:cs="Times New Roman"/>
          <w:sz w:val="26"/>
          <w:szCs w:val="26"/>
        </w:rPr>
        <w:t xml:space="preserve">quorum </w:t>
      </w:r>
      <w:r>
        <w:rPr>
          <w:rFonts w:ascii="Times New Roman" w:hAnsi="Times New Roman" w:cs="Times New Roman"/>
          <w:sz w:val="26"/>
          <w:szCs w:val="26"/>
        </w:rPr>
        <w:t xml:space="preserve">it began to review all of the 96 cases that previously been appealed to the federal courts. </w:t>
      </w:r>
      <w:r w:rsidRPr="00FC2C06">
        <w:rPr>
          <w:rFonts w:ascii="Times New Roman" w:hAnsi="Times New Roman" w:cs="Times New Roman"/>
          <w:sz w:val="26"/>
          <w:szCs w:val="26"/>
        </w:rPr>
        <w:t>It is not clear how they were disposing the cases not appealed.</w:t>
      </w:r>
      <w:r w:rsidRPr="00FC2C06">
        <w:rPr>
          <w:rStyle w:val="FootnoteReference"/>
          <w:rFonts w:ascii="Times New Roman" w:hAnsi="Times New Roman" w:cs="Times New Roman"/>
          <w:sz w:val="26"/>
          <w:szCs w:val="26"/>
        </w:rPr>
        <w:footnoteReference w:id="133"/>
      </w:r>
      <w:r w:rsidRPr="00FC2C06">
        <w:rPr>
          <w:rFonts w:ascii="Times New Roman" w:hAnsi="Times New Roman" w:cs="Times New Roman"/>
          <w:sz w:val="26"/>
          <w:szCs w:val="26"/>
        </w:rPr>
        <w:t xml:space="preserve"> </w:t>
      </w:r>
      <w:r>
        <w:rPr>
          <w:rFonts w:ascii="Times New Roman" w:hAnsi="Times New Roman" w:cs="Times New Roman"/>
          <w:sz w:val="26"/>
          <w:szCs w:val="26"/>
        </w:rPr>
        <w:t xml:space="preserve">The NLRB </w:t>
      </w:r>
      <w:r w:rsidR="008F3DF2">
        <w:rPr>
          <w:rFonts w:ascii="Times New Roman" w:hAnsi="Times New Roman" w:cs="Times New Roman"/>
          <w:sz w:val="26"/>
          <w:szCs w:val="26"/>
        </w:rPr>
        <w:t xml:space="preserve">again </w:t>
      </w:r>
      <w:r>
        <w:rPr>
          <w:rFonts w:ascii="Times New Roman" w:hAnsi="Times New Roman" w:cs="Times New Roman"/>
          <w:sz w:val="26"/>
          <w:szCs w:val="26"/>
        </w:rPr>
        <w:t xml:space="preserve">lost its quorum at the end of 2011 by virtue of </w:t>
      </w:r>
      <w:r w:rsidRPr="00FC2C06">
        <w:rPr>
          <w:rFonts w:ascii="Times New Roman" w:hAnsi="Times New Roman" w:cs="Times New Roman"/>
          <w:sz w:val="26"/>
          <w:szCs w:val="26"/>
        </w:rPr>
        <w:t xml:space="preserve">the end </w:t>
      </w:r>
      <w:r>
        <w:rPr>
          <w:rFonts w:ascii="Times New Roman" w:hAnsi="Times New Roman" w:cs="Times New Roman"/>
          <w:sz w:val="26"/>
          <w:szCs w:val="26"/>
        </w:rPr>
        <w:t xml:space="preserve">of three </w:t>
      </w:r>
      <w:r w:rsidRPr="00FC2C06">
        <w:rPr>
          <w:rFonts w:ascii="Times New Roman" w:hAnsi="Times New Roman" w:cs="Times New Roman"/>
          <w:sz w:val="26"/>
          <w:szCs w:val="26"/>
        </w:rPr>
        <w:t>member</w:t>
      </w:r>
      <w:r>
        <w:rPr>
          <w:rFonts w:ascii="Times New Roman" w:hAnsi="Times New Roman" w:cs="Times New Roman"/>
          <w:sz w:val="26"/>
          <w:szCs w:val="26"/>
        </w:rPr>
        <w:t>s’</w:t>
      </w:r>
      <w:r w:rsidRPr="00FC2C06">
        <w:rPr>
          <w:rFonts w:ascii="Times New Roman" w:hAnsi="Times New Roman" w:cs="Times New Roman"/>
          <w:sz w:val="26"/>
          <w:szCs w:val="26"/>
        </w:rPr>
        <w:t xml:space="preserve"> terms. </w:t>
      </w:r>
      <w:r>
        <w:rPr>
          <w:rFonts w:ascii="Times New Roman" w:hAnsi="Times New Roman" w:cs="Times New Roman"/>
          <w:sz w:val="26"/>
          <w:szCs w:val="26"/>
        </w:rPr>
        <w:t xml:space="preserve"> </w:t>
      </w:r>
      <w:r w:rsidRPr="00FC2C06">
        <w:rPr>
          <w:rFonts w:ascii="Times New Roman" w:hAnsi="Times New Roman" w:cs="Times New Roman"/>
          <w:sz w:val="26"/>
          <w:szCs w:val="26"/>
        </w:rPr>
        <w:t>In</w:t>
      </w:r>
      <w:r>
        <w:rPr>
          <w:rFonts w:ascii="Times New Roman" w:hAnsi="Times New Roman" w:cs="Times New Roman"/>
          <w:sz w:val="26"/>
          <w:szCs w:val="26"/>
        </w:rPr>
        <w:t xml:space="preserve"> order to permit the NLRB to function, the President made the three appointments discussed above.  However, at least one case challenging</w:t>
      </w:r>
      <w:r w:rsidRPr="00FC2C06">
        <w:rPr>
          <w:rFonts w:ascii="Times New Roman" w:hAnsi="Times New Roman" w:cs="Times New Roman"/>
          <w:sz w:val="26"/>
          <w:szCs w:val="26"/>
        </w:rPr>
        <w:t xml:space="preserve"> the constitutionality of the NLRB recess appointments</w:t>
      </w:r>
      <w:r>
        <w:rPr>
          <w:rFonts w:ascii="Times New Roman" w:hAnsi="Times New Roman" w:cs="Times New Roman"/>
          <w:sz w:val="26"/>
          <w:szCs w:val="26"/>
        </w:rPr>
        <w:t xml:space="preserve"> has already been filed.</w:t>
      </w:r>
    </w:p>
    <w:p w:rsidR="00E7229A" w:rsidRPr="00FC2C06" w:rsidRDefault="00E7229A" w:rsidP="00D067DB">
      <w:pPr>
        <w:spacing w:after="0" w:line="240" w:lineRule="auto"/>
        <w:rPr>
          <w:rFonts w:ascii="Times New Roman" w:hAnsi="Times New Roman" w:cs="Times New Roman"/>
          <w:sz w:val="26"/>
          <w:szCs w:val="26"/>
        </w:rPr>
      </w:pPr>
    </w:p>
    <w:p w:rsidR="00E7229A"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The CFPB also faces what are p</w:t>
      </w:r>
      <w:r>
        <w:rPr>
          <w:rFonts w:ascii="Times New Roman" w:hAnsi="Times New Roman" w:cs="Times New Roman"/>
          <w:sz w:val="26"/>
          <w:szCs w:val="26"/>
        </w:rPr>
        <w:t>otentially</w:t>
      </w:r>
      <w:r w:rsidRPr="00FC2C06">
        <w:rPr>
          <w:rFonts w:ascii="Times New Roman" w:hAnsi="Times New Roman" w:cs="Times New Roman"/>
          <w:sz w:val="26"/>
          <w:szCs w:val="26"/>
        </w:rPr>
        <w:t xml:space="preserve"> more serious problems. </w:t>
      </w:r>
      <w:r>
        <w:rPr>
          <w:rFonts w:ascii="Times New Roman" w:hAnsi="Times New Roman" w:cs="Times New Roman"/>
          <w:sz w:val="26"/>
          <w:szCs w:val="26"/>
        </w:rPr>
        <w:t xml:space="preserve"> It is possible that an adverse ruling would be </w:t>
      </w:r>
      <w:r w:rsidRPr="00FC2C06">
        <w:rPr>
          <w:rFonts w:ascii="Times New Roman" w:hAnsi="Times New Roman" w:cs="Times New Roman"/>
          <w:sz w:val="26"/>
          <w:szCs w:val="26"/>
        </w:rPr>
        <w:t>limited to reversal of the particu</w:t>
      </w:r>
      <w:r>
        <w:rPr>
          <w:rFonts w:ascii="Times New Roman" w:hAnsi="Times New Roman" w:cs="Times New Roman"/>
          <w:sz w:val="26"/>
          <w:szCs w:val="26"/>
        </w:rPr>
        <w:t>lar regulatory action contested.  This would result if the</w:t>
      </w:r>
      <w:r w:rsidRPr="00FC2C06">
        <w:rPr>
          <w:rFonts w:ascii="Times New Roman" w:hAnsi="Times New Roman" w:cs="Times New Roman"/>
          <w:sz w:val="26"/>
          <w:szCs w:val="26"/>
        </w:rPr>
        <w:t xml:space="preserve"> court </w:t>
      </w:r>
      <w:r>
        <w:rPr>
          <w:rFonts w:ascii="Times New Roman" w:hAnsi="Times New Roman" w:cs="Times New Roman"/>
          <w:sz w:val="26"/>
          <w:szCs w:val="26"/>
        </w:rPr>
        <w:t xml:space="preserve">invokes the </w:t>
      </w:r>
      <w:r w:rsidRPr="00FC2C06">
        <w:rPr>
          <w:rFonts w:ascii="Times New Roman" w:hAnsi="Times New Roman" w:cs="Times New Roman"/>
          <w:i/>
          <w:iCs/>
          <w:sz w:val="26"/>
          <w:szCs w:val="26"/>
        </w:rPr>
        <w:t xml:space="preserve">de facto </w:t>
      </w:r>
      <w:r w:rsidRPr="00FC2C06">
        <w:rPr>
          <w:rFonts w:ascii="Times New Roman" w:hAnsi="Times New Roman" w:cs="Times New Roman"/>
          <w:sz w:val="26"/>
          <w:szCs w:val="26"/>
        </w:rPr>
        <w:t>doctrine and validate</w:t>
      </w:r>
      <w:r>
        <w:rPr>
          <w:rFonts w:ascii="Times New Roman" w:hAnsi="Times New Roman" w:cs="Times New Roman"/>
          <w:sz w:val="26"/>
          <w:szCs w:val="26"/>
        </w:rPr>
        <w:t>s</w:t>
      </w:r>
      <w:r w:rsidRPr="00FC2C06">
        <w:rPr>
          <w:rFonts w:ascii="Times New Roman" w:hAnsi="Times New Roman" w:cs="Times New Roman"/>
          <w:sz w:val="26"/>
          <w:szCs w:val="26"/>
        </w:rPr>
        <w:t xml:space="preserve"> all </w:t>
      </w:r>
      <w:r>
        <w:rPr>
          <w:rFonts w:ascii="Times New Roman" w:hAnsi="Times New Roman" w:cs="Times New Roman"/>
          <w:sz w:val="26"/>
          <w:szCs w:val="26"/>
        </w:rPr>
        <w:t xml:space="preserve">other </w:t>
      </w:r>
      <w:r w:rsidRPr="00FC2C06">
        <w:rPr>
          <w:rFonts w:ascii="Times New Roman" w:hAnsi="Times New Roman" w:cs="Times New Roman"/>
          <w:sz w:val="26"/>
          <w:szCs w:val="26"/>
        </w:rPr>
        <w:t xml:space="preserve">past actions of the </w:t>
      </w:r>
      <w:r>
        <w:rPr>
          <w:rFonts w:ascii="Times New Roman" w:hAnsi="Times New Roman" w:cs="Times New Roman"/>
          <w:sz w:val="26"/>
          <w:szCs w:val="26"/>
        </w:rPr>
        <w:t xml:space="preserve">agency.  Alternatively, a court might provide a time certain for Congress to </w:t>
      </w:r>
      <w:r w:rsidRPr="00FC2C06">
        <w:rPr>
          <w:rFonts w:ascii="Times New Roman" w:hAnsi="Times New Roman" w:cs="Times New Roman"/>
          <w:sz w:val="26"/>
          <w:szCs w:val="26"/>
        </w:rPr>
        <w:t>pass legislation to validate</w:t>
      </w:r>
      <w:r>
        <w:rPr>
          <w:rFonts w:ascii="Times New Roman" w:hAnsi="Times New Roman" w:cs="Times New Roman"/>
          <w:sz w:val="26"/>
          <w:szCs w:val="26"/>
        </w:rPr>
        <w:t xml:space="preserve"> retroactively</w:t>
      </w:r>
      <w:r w:rsidRPr="00FC2C06">
        <w:rPr>
          <w:rFonts w:ascii="Times New Roman" w:hAnsi="Times New Roman" w:cs="Times New Roman"/>
          <w:sz w:val="26"/>
          <w:szCs w:val="26"/>
        </w:rPr>
        <w:t xml:space="preserve"> past</w:t>
      </w:r>
      <w:r>
        <w:rPr>
          <w:rFonts w:ascii="Times New Roman" w:hAnsi="Times New Roman" w:cs="Times New Roman"/>
          <w:sz w:val="26"/>
          <w:szCs w:val="26"/>
        </w:rPr>
        <w:t xml:space="preserve"> agency</w:t>
      </w:r>
      <w:r w:rsidRPr="00FC2C06">
        <w:rPr>
          <w:rFonts w:ascii="Times New Roman" w:hAnsi="Times New Roman" w:cs="Times New Roman"/>
          <w:sz w:val="26"/>
          <w:szCs w:val="26"/>
        </w:rPr>
        <w:t xml:space="preserve"> actions. </w:t>
      </w:r>
    </w:p>
    <w:p w:rsidR="00E7229A" w:rsidRDefault="00E7229A" w:rsidP="00D067DB">
      <w:pPr>
        <w:spacing w:after="0" w:line="240" w:lineRule="auto"/>
        <w:rPr>
          <w:rFonts w:ascii="Times New Roman" w:hAnsi="Times New Roman" w:cs="Times New Roman"/>
          <w:sz w:val="26"/>
          <w:szCs w:val="26"/>
        </w:rPr>
      </w:pPr>
    </w:p>
    <w:p w:rsidR="00C638C1" w:rsidRDefault="00E7229A">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One question that will have to be faced is </w:t>
      </w:r>
      <w:r w:rsidRPr="00FC2C06">
        <w:rPr>
          <w:rFonts w:ascii="Times New Roman" w:hAnsi="Times New Roman" w:cs="Times New Roman"/>
          <w:sz w:val="26"/>
          <w:szCs w:val="26"/>
        </w:rPr>
        <w:t xml:space="preserve">what happens </w:t>
      </w:r>
      <w:r w:rsidR="003475C8">
        <w:rPr>
          <w:rFonts w:ascii="Times New Roman" w:hAnsi="Times New Roman" w:cs="Times New Roman"/>
          <w:sz w:val="26"/>
          <w:szCs w:val="26"/>
        </w:rPr>
        <w:t xml:space="preserve">if Mr. </w:t>
      </w:r>
      <w:r w:rsidRPr="00FC2C06">
        <w:rPr>
          <w:rFonts w:ascii="Times New Roman" w:hAnsi="Times New Roman" w:cs="Times New Roman"/>
          <w:sz w:val="26"/>
          <w:szCs w:val="26"/>
        </w:rPr>
        <w:t>Cordray</w:t>
      </w:r>
      <w:r w:rsidR="003475C8">
        <w:rPr>
          <w:rFonts w:ascii="Times New Roman" w:hAnsi="Times New Roman" w:cs="Times New Roman"/>
          <w:sz w:val="26"/>
          <w:szCs w:val="26"/>
        </w:rPr>
        <w:t>’s appointment is declared unconstitutional</w:t>
      </w:r>
      <w:r w:rsidRPr="00FC2C06">
        <w:rPr>
          <w:rFonts w:ascii="Times New Roman" w:hAnsi="Times New Roman" w:cs="Times New Roman"/>
          <w:sz w:val="26"/>
          <w:szCs w:val="26"/>
        </w:rPr>
        <w:t xml:space="preserve">? </w:t>
      </w:r>
      <w:r w:rsidR="002D69EE">
        <w:rPr>
          <w:rFonts w:ascii="Times New Roman" w:hAnsi="Times New Roman" w:cs="Times New Roman"/>
          <w:sz w:val="26"/>
          <w:szCs w:val="26"/>
        </w:rPr>
        <w:t xml:space="preserve"> </w:t>
      </w:r>
      <w:r w:rsidRPr="00FC2C06">
        <w:rPr>
          <w:rFonts w:ascii="Times New Roman" w:hAnsi="Times New Roman" w:cs="Times New Roman"/>
          <w:sz w:val="26"/>
          <w:szCs w:val="26"/>
        </w:rPr>
        <w:t xml:space="preserve">Does the Treasury Secretary automatically resume his prior limited assumption of only the </w:t>
      </w:r>
      <w:proofErr w:type="gramStart"/>
      <w:r w:rsidRPr="00FC2C06">
        <w:rPr>
          <w:rFonts w:ascii="Times New Roman" w:hAnsi="Times New Roman" w:cs="Times New Roman"/>
          <w:sz w:val="26"/>
          <w:szCs w:val="26"/>
        </w:rPr>
        <w:t>transferred  powers</w:t>
      </w:r>
      <w:proofErr w:type="gramEnd"/>
      <w:r w:rsidRPr="00FC2C06">
        <w:rPr>
          <w:rFonts w:ascii="Times New Roman" w:hAnsi="Times New Roman" w:cs="Times New Roman"/>
          <w:sz w:val="26"/>
          <w:szCs w:val="26"/>
        </w:rPr>
        <w:t xml:space="preserve"> of the then vacant office of Director</w:t>
      </w:r>
      <w:r w:rsidR="008F3DF2">
        <w:rPr>
          <w:rFonts w:ascii="Times New Roman" w:hAnsi="Times New Roman" w:cs="Times New Roman"/>
          <w:sz w:val="26"/>
          <w:szCs w:val="26"/>
        </w:rPr>
        <w:t>;</w:t>
      </w:r>
      <w:r w:rsidRPr="00FC2C06">
        <w:rPr>
          <w:rFonts w:ascii="Times New Roman" w:hAnsi="Times New Roman" w:cs="Times New Roman"/>
          <w:sz w:val="26"/>
          <w:szCs w:val="26"/>
        </w:rPr>
        <w:t xml:space="preserve"> or would he now assume all the powers of the Director who has been deposed because he was unlawfully appointed? Has Cordray already ratified all the actions the Treasury Secretary took in the period July 21, 2011 until January 4, 2012 and, if so</w:t>
      </w:r>
      <w:r w:rsidR="00243095">
        <w:rPr>
          <w:rFonts w:ascii="Times New Roman" w:hAnsi="Times New Roman" w:cs="Times New Roman"/>
          <w:sz w:val="26"/>
          <w:szCs w:val="26"/>
        </w:rPr>
        <w:t>,</w:t>
      </w:r>
      <w:r w:rsidRPr="00FC2C06">
        <w:rPr>
          <w:rFonts w:ascii="Times New Roman" w:hAnsi="Times New Roman" w:cs="Times New Roman"/>
          <w:sz w:val="26"/>
          <w:szCs w:val="26"/>
        </w:rPr>
        <w:t xml:space="preserve"> are </w:t>
      </w:r>
      <w:r w:rsidR="008F3DF2">
        <w:rPr>
          <w:rFonts w:ascii="Times New Roman" w:hAnsi="Times New Roman" w:cs="Times New Roman"/>
          <w:sz w:val="26"/>
          <w:szCs w:val="26"/>
        </w:rPr>
        <w:t xml:space="preserve">the ratifications </w:t>
      </w:r>
      <w:r w:rsidRPr="00FC2C06">
        <w:rPr>
          <w:rFonts w:ascii="Times New Roman" w:hAnsi="Times New Roman" w:cs="Times New Roman"/>
          <w:sz w:val="26"/>
          <w:szCs w:val="26"/>
        </w:rPr>
        <w:t>valid? All these questions may become relevant in the event of an adverse ruling since there remains a serious legal question whether the Treasury</w:t>
      </w:r>
      <w:r w:rsidR="002D01EB">
        <w:rPr>
          <w:rFonts w:ascii="Times New Roman" w:hAnsi="Times New Roman" w:cs="Times New Roman"/>
          <w:sz w:val="26"/>
          <w:szCs w:val="26"/>
        </w:rPr>
        <w:t xml:space="preserve"> Secretary </w:t>
      </w:r>
      <w:r w:rsidRPr="00FC2C06">
        <w:rPr>
          <w:rFonts w:ascii="Times New Roman" w:hAnsi="Times New Roman" w:cs="Times New Roman"/>
          <w:sz w:val="26"/>
          <w:szCs w:val="26"/>
        </w:rPr>
        <w:t xml:space="preserve">lawfully assumed the duties that were transferred on July 21, 2011.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VI</w:t>
      </w:r>
      <w:r>
        <w:rPr>
          <w:rFonts w:ascii="Times New Roman" w:hAnsi="Times New Roman" w:cs="Times New Roman"/>
          <w:sz w:val="26"/>
          <w:szCs w:val="26"/>
        </w:rPr>
        <w:t>I</w:t>
      </w:r>
      <w:r w:rsidRPr="00FC2C06">
        <w:rPr>
          <w:rFonts w:ascii="Times New Roman" w:hAnsi="Times New Roman" w:cs="Times New Roman"/>
          <w:sz w:val="26"/>
          <w:szCs w:val="26"/>
        </w:rPr>
        <w:t>I.</w:t>
      </w:r>
      <w:r w:rsidRPr="00FC2C06">
        <w:rPr>
          <w:rFonts w:ascii="Times New Roman" w:hAnsi="Times New Roman" w:cs="Times New Roman"/>
          <w:sz w:val="26"/>
          <w:szCs w:val="26"/>
        </w:rPr>
        <w:tab/>
      </w:r>
      <w:r w:rsidRPr="00FC2C06">
        <w:rPr>
          <w:rFonts w:ascii="Times New Roman" w:hAnsi="Times New Roman" w:cs="Times New Roman"/>
          <w:sz w:val="26"/>
          <w:szCs w:val="26"/>
          <w:u w:val="single"/>
        </w:rPr>
        <w:t>Concluding Observations</w:t>
      </w:r>
      <w:r w:rsidRPr="00FC2C06">
        <w:rPr>
          <w:rFonts w:ascii="Times New Roman" w:hAnsi="Times New Roman" w:cs="Times New Roman"/>
          <w:sz w:val="26"/>
          <w:szCs w:val="26"/>
        </w:rPr>
        <w:t xml:space="preserve"> </w:t>
      </w:r>
    </w:p>
    <w:p w:rsidR="00E7229A" w:rsidRPr="00FC2C06" w:rsidRDefault="00E7229A" w:rsidP="00D067DB">
      <w:pPr>
        <w:spacing w:after="0" w:line="240" w:lineRule="auto"/>
        <w:rPr>
          <w:rFonts w:ascii="Times New Roman" w:hAnsi="Times New Roman" w:cs="Times New Roman"/>
          <w:sz w:val="26"/>
          <w:szCs w:val="26"/>
        </w:rPr>
      </w:pPr>
    </w:p>
    <w:p w:rsidR="00E7229A" w:rsidRPr="00FC2C06" w:rsidRDefault="00E7229A" w:rsidP="00D067DB">
      <w:pPr>
        <w:spacing w:after="0" w:line="240" w:lineRule="auto"/>
        <w:rPr>
          <w:rFonts w:ascii="Times New Roman" w:hAnsi="Times New Roman" w:cs="Times New Roman"/>
          <w:sz w:val="26"/>
          <w:szCs w:val="26"/>
        </w:rPr>
      </w:pPr>
      <w:r w:rsidRPr="00FC2C06">
        <w:rPr>
          <w:rFonts w:ascii="Times New Roman" w:hAnsi="Times New Roman" w:cs="Times New Roman"/>
          <w:sz w:val="26"/>
          <w:szCs w:val="26"/>
        </w:rPr>
        <w:tab/>
        <w:t xml:space="preserve">The Constitution establishes a procedure for the nomination and appointment of officers of the United States that includes important roles for both the President and the Senate.  The debates of our founding fathers, as well as Supreme Court opinions, explain that these provisions were intended to create important checks and balances on the </w:t>
      </w:r>
      <w:r w:rsidRPr="00FC2C06">
        <w:rPr>
          <w:rFonts w:ascii="Times New Roman" w:hAnsi="Times New Roman" w:cs="Times New Roman"/>
          <w:sz w:val="26"/>
          <w:szCs w:val="26"/>
        </w:rPr>
        <w:lastRenderedPageBreak/>
        <w:t xml:space="preserve">branches of Government involved.  The OLC legal opinion, which purports to identify the legal basis of the recess appointments of four individuals to important Government positions this past January, asserts that the President has the unilateral ability to determine the existence of a “recess” for purposes of triggering the President’s recess appointment authority.  This conclusion would appear to undermine the balance of powers that is inherent in the Appointments Clause.  It would also appear to conflict with the constitutional right of the Senate to determine its own rules and procedures.  The use of a pro forma procedure during an intrasession </w:t>
      </w:r>
      <w:r w:rsidR="00F43A82">
        <w:rPr>
          <w:rFonts w:ascii="Times New Roman" w:hAnsi="Times New Roman" w:cs="Times New Roman"/>
          <w:sz w:val="26"/>
          <w:szCs w:val="26"/>
        </w:rPr>
        <w:t>adjournment</w:t>
      </w:r>
      <w:r w:rsidRPr="00FC2C06">
        <w:rPr>
          <w:rFonts w:ascii="Times New Roman" w:hAnsi="Times New Roman" w:cs="Times New Roman"/>
          <w:sz w:val="26"/>
          <w:szCs w:val="26"/>
        </w:rPr>
        <w:t xml:space="preserve"> of the Senate also raises the unresolved issue of whether any recess appointment can ever be made while the Senate is in such an intrasession adjournment, or instead does this authority only relate to intercessional periods.  While there is no definitive precedent as yet, a review of the constitutional debates, prior court rulings, and the history of recess appointments indicates that </w:t>
      </w:r>
      <w:r w:rsidR="00770B80">
        <w:rPr>
          <w:rFonts w:ascii="Times New Roman" w:hAnsi="Times New Roman" w:cs="Times New Roman"/>
          <w:sz w:val="26"/>
          <w:szCs w:val="26"/>
        </w:rPr>
        <w:t xml:space="preserve">the </w:t>
      </w:r>
      <w:r w:rsidRPr="00FC2C06">
        <w:rPr>
          <w:rFonts w:ascii="Times New Roman" w:hAnsi="Times New Roman" w:cs="Times New Roman"/>
          <w:sz w:val="26"/>
          <w:szCs w:val="26"/>
        </w:rPr>
        <w:t>validity of the intrasession recess appointments at issue is questionable, and that compelling arguments may be made that they are invalid.</w:t>
      </w:r>
    </w:p>
    <w:p w:rsidR="00E7229A" w:rsidRPr="00DF0FC2" w:rsidRDefault="00E7229A" w:rsidP="00D067DB">
      <w:pPr>
        <w:spacing w:after="0" w:line="240" w:lineRule="auto"/>
        <w:rPr>
          <w:rFonts w:ascii="Times New Roman" w:hAnsi="Times New Roman" w:cs="Times New Roman"/>
          <w:sz w:val="24"/>
          <w:szCs w:val="24"/>
        </w:rPr>
      </w:pPr>
      <w:r w:rsidRPr="00DF0FC2">
        <w:rPr>
          <w:rFonts w:ascii="Times New Roman" w:hAnsi="Times New Roman" w:cs="Times New Roman"/>
          <w:sz w:val="24"/>
          <w:szCs w:val="24"/>
        </w:rPr>
        <w:tab/>
      </w:r>
    </w:p>
    <w:p w:rsidR="00E7229A" w:rsidRPr="00DF0FC2" w:rsidRDefault="00E7229A" w:rsidP="00D067DB">
      <w:pPr>
        <w:spacing w:after="0" w:line="240" w:lineRule="auto"/>
        <w:rPr>
          <w:rFonts w:ascii="Times New Roman" w:hAnsi="Times New Roman" w:cs="Times New Roman"/>
          <w:sz w:val="24"/>
          <w:szCs w:val="24"/>
        </w:rPr>
      </w:pPr>
    </w:p>
    <w:sectPr w:rsidR="00E7229A" w:rsidRPr="00DF0FC2" w:rsidSect="00712A4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CE" w:rsidRDefault="00BC20CE" w:rsidP="001C2E4F">
      <w:pPr>
        <w:spacing w:after="0" w:line="240" w:lineRule="auto"/>
      </w:pPr>
      <w:r>
        <w:separator/>
      </w:r>
    </w:p>
  </w:endnote>
  <w:endnote w:type="continuationSeparator" w:id="0">
    <w:p w:rsidR="00BC20CE" w:rsidRDefault="00BC20CE" w:rsidP="001C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FC" w:rsidRDefault="003A3CFC" w:rsidP="00A27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3CFC" w:rsidRDefault="003A3CF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FC" w:rsidRDefault="003A3CFC" w:rsidP="001A31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2B02">
      <w:rPr>
        <w:rStyle w:val="PageNumber"/>
        <w:noProof/>
      </w:rPr>
      <w:t>33</w:t>
    </w:r>
    <w:r>
      <w:rPr>
        <w:rStyle w:val="PageNumber"/>
      </w:rPr>
      <w:fldChar w:fldCharType="end"/>
    </w:r>
  </w:p>
  <w:p w:rsidR="003A3CFC" w:rsidRDefault="003A3CFC" w:rsidP="00C52D76">
    <w:pPr>
      <w:pStyle w:val="Footer"/>
      <w:framePr w:wrap="around" w:vAnchor="text" w:hAnchor="page" w:x="6076" w:y="-255"/>
      <w:rPr>
        <w:rStyle w:val="PageNumber"/>
      </w:rPr>
    </w:pPr>
  </w:p>
  <w:p w:rsidR="003A3CFC" w:rsidRDefault="003A3CF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FC" w:rsidRDefault="003A3CFC">
    <w:pPr>
      <w:pStyle w:val="Footer"/>
      <w:jc w:val="center"/>
    </w:pPr>
  </w:p>
  <w:p w:rsidR="003A3CFC" w:rsidRDefault="003A3CFC" w:rsidP="00C860F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CE" w:rsidRDefault="00BC20CE" w:rsidP="001C2E4F">
      <w:pPr>
        <w:spacing w:after="0" w:line="240" w:lineRule="auto"/>
      </w:pPr>
      <w:r>
        <w:separator/>
      </w:r>
    </w:p>
  </w:footnote>
  <w:footnote w:type="continuationSeparator" w:id="0">
    <w:p w:rsidR="00BC20CE" w:rsidRDefault="00BC20CE" w:rsidP="001C2E4F">
      <w:pPr>
        <w:spacing w:after="0" w:line="240" w:lineRule="auto"/>
      </w:pPr>
      <w:r>
        <w:continuationSeparator/>
      </w:r>
    </w:p>
  </w:footnote>
  <w:footnote w:id="1">
    <w:p w:rsidR="003A3CFC" w:rsidRDefault="003A3CFC">
      <w:pPr>
        <w:pStyle w:val="FootnoteText"/>
      </w:pPr>
      <w:r>
        <w:rPr>
          <w:rStyle w:val="FootnoteReference"/>
        </w:rPr>
        <w:footnoteRef/>
      </w:r>
      <w:r>
        <w:t xml:space="preserve"> A previous version of this paper was presented at a forum sponsored </w:t>
      </w:r>
      <w:proofErr w:type="gramStart"/>
      <w:r>
        <w:t>by  the</w:t>
      </w:r>
      <w:proofErr w:type="gramEnd"/>
      <w:r>
        <w:t xml:space="preserve"> American Enterprise Institute on February 21, 2012 and may be accessed at www.aei.org.</w:t>
      </w:r>
    </w:p>
  </w:footnote>
  <w:footnote w:id="2">
    <w:p w:rsidR="003A3CFC" w:rsidRDefault="003A3CFC">
      <w:pPr>
        <w:pStyle w:val="FootnoteText"/>
      </w:pPr>
      <w:r>
        <w:rPr>
          <w:rStyle w:val="FootnoteReference"/>
        </w:rPr>
        <w:footnoteRef/>
      </w:r>
      <w:r>
        <w:t xml:space="preserve"> </w:t>
      </w:r>
      <w:proofErr w:type="gramStart"/>
      <w:r>
        <w:rPr>
          <w:rFonts w:ascii="Times New Roman" w:hAnsi="Times New Roman" w:cs="Times New Roman"/>
        </w:rPr>
        <w:t>New York University (B.A. 1957); Harvard Law School (LL.B. 1960).</w:t>
      </w:r>
      <w:proofErr w:type="gramEnd"/>
      <w:r>
        <w:rPr>
          <w:rFonts w:ascii="Times New Roman" w:hAnsi="Times New Roman" w:cs="Times New Roman"/>
        </w:rPr>
        <w:t xml:space="preserve"> </w:t>
      </w:r>
      <w:proofErr w:type="gramStart"/>
      <w:r>
        <w:rPr>
          <w:rFonts w:ascii="Times New Roman" w:hAnsi="Times New Roman" w:cs="Times New Roman"/>
        </w:rPr>
        <w:t>Specialist in American Public Law, Congressional Research Service (1973-2008).</w:t>
      </w:r>
      <w:proofErr w:type="gramEnd"/>
    </w:p>
  </w:footnote>
  <w:footnote w:id="3">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The views expressed in this paper are solely those of the author and do not reflect a position of the</w:t>
      </w:r>
      <w:r>
        <w:rPr>
          <w:rFonts w:ascii="Times New Roman" w:hAnsi="Times New Roman" w:cs="Times New Roman"/>
        </w:rPr>
        <w:t xml:space="preserve"> </w:t>
      </w:r>
      <w:proofErr w:type="gramStart"/>
      <w:r w:rsidRPr="00256D66">
        <w:rPr>
          <w:rFonts w:ascii="Times New Roman" w:hAnsi="Times New Roman" w:cs="Times New Roman"/>
        </w:rPr>
        <w:t>Constitution  Project</w:t>
      </w:r>
      <w:proofErr w:type="gramEnd"/>
      <w:r w:rsidRPr="00256D66">
        <w:rPr>
          <w:rFonts w:ascii="Times New Roman" w:hAnsi="Times New Roman" w:cs="Times New Roman"/>
        </w:rPr>
        <w:t xml:space="preserve">. </w:t>
      </w:r>
    </w:p>
  </w:footnote>
  <w:footnote w:id="4">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Art. II, Sec. 2, cl. 3.</w:t>
      </w:r>
    </w:p>
  </w:footnote>
  <w:footnote w:id="5">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w:t>
      </w:r>
      <w:proofErr w:type="gramStart"/>
      <w:r w:rsidRPr="00DF0FC2">
        <w:rPr>
          <w:rFonts w:ascii="Times New Roman" w:hAnsi="Times New Roman" w:cs="Times New Roman"/>
        </w:rPr>
        <w:t>Office of Legal Counsel Memorandum for the Counsel to the President, Lawfulness of Recess Appointments During a Recess of the Senate Notwithstanding Periodic Pro Forma Sessions (January 6, 2012)(OLC Opinion).</w:t>
      </w:r>
      <w:proofErr w:type="gramEnd"/>
      <w:r w:rsidRPr="00DF0FC2">
        <w:rPr>
          <w:rFonts w:ascii="Times New Roman" w:hAnsi="Times New Roman" w:cs="Times New Roman"/>
        </w:rPr>
        <w:t xml:space="preserve"> </w:t>
      </w:r>
    </w:p>
  </w:footnote>
  <w:footnote w:id="6">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An “intrasession recess” is a recess that occurs during a session of the Senate.  An “intersession recess” occurs between two different sessions of the Senate</w:t>
      </w:r>
      <w:r>
        <w:rPr>
          <w:rFonts w:ascii="Times New Roman" w:hAnsi="Times New Roman" w:cs="Times New Roman"/>
        </w:rPr>
        <w:t>, i</w:t>
      </w:r>
      <w:r w:rsidRPr="00DF0FC2">
        <w:rPr>
          <w:rFonts w:ascii="Times New Roman" w:hAnsi="Times New Roman" w:cs="Times New Roman"/>
        </w:rPr>
        <w:t>n other words, after the end of the one session but before the beginning of the next session.</w:t>
      </w:r>
    </w:p>
  </w:footnote>
  <w:footnote w:id="7">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See ,e.g</w:t>
      </w:r>
      <w:proofErr w:type="gramEnd"/>
      <w:r w:rsidRPr="00256D66">
        <w:rPr>
          <w:rFonts w:ascii="Times New Roman" w:hAnsi="Times New Roman" w:cs="Times New Roman"/>
        </w:rPr>
        <w:t>., Josh Rogin, “McCain removes hold on Lippert nomination,” Wash. Post, Feb. 9, 2012, A 15</w:t>
      </w:r>
      <w:r>
        <w:rPr>
          <w:rFonts w:ascii="Times New Roman" w:hAnsi="Times New Roman" w:cs="Times New Roman"/>
        </w:rPr>
        <w:t>.  The article explains that n</w:t>
      </w:r>
      <w:r w:rsidRPr="00256D66">
        <w:rPr>
          <w:rFonts w:ascii="Times New Roman" w:hAnsi="Times New Roman" w:cs="Times New Roman"/>
        </w:rPr>
        <w:t xml:space="preserve">ominations are </w:t>
      </w:r>
      <w:proofErr w:type="gramStart"/>
      <w:r w:rsidRPr="00256D66">
        <w:rPr>
          <w:rFonts w:ascii="Times New Roman" w:hAnsi="Times New Roman" w:cs="Times New Roman"/>
        </w:rPr>
        <w:t>stalled  because</w:t>
      </w:r>
      <w:proofErr w:type="gramEnd"/>
      <w:r w:rsidRPr="00256D66">
        <w:rPr>
          <w:rFonts w:ascii="Times New Roman" w:hAnsi="Times New Roman" w:cs="Times New Roman"/>
        </w:rPr>
        <w:t xml:space="preserve"> of Republican anger at </w:t>
      </w:r>
      <w:r>
        <w:rPr>
          <w:rFonts w:ascii="Times New Roman" w:hAnsi="Times New Roman" w:cs="Times New Roman"/>
        </w:rPr>
        <w:t xml:space="preserve">the </w:t>
      </w:r>
      <w:r w:rsidRPr="00256D66">
        <w:rPr>
          <w:rFonts w:ascii="Times New Roman" w:hAnsi="Times New Roman" w:cs="Times New Roman"/>
        </w:rPr>
        <w:t>recess appointment of  Cordray</w:t>
      </w:r>
      <w:r>
        <w:rPr>
          <w:rFonts w:ascii="Times New Roman" w:hAnsi="Times New Roman" w:cs="Times New Roman"/>
        </w:rPr>
        <w:t>.</w:t>
      </w:r>
    </w:p>
  </w:footnote>
  <w:footnote w:id="8">
    <w:p w:rsidR="003A3CFC" w:rsidRPr="00514BF6" w:rsidRDefault="003A3CFC">
      <w:pPr>
        <w:pStyle w:val="FootnoteText"/>
        <w:rPr>
          <w:i/>
        </w:rPr>
      </w:pPr>
      <w:r w:rsidRPr="00256D66">
        <w:rPr>
          <w:rStyle w:val="FootnoteReference"/>
          <w:rFonts w:ascii="Times New Roman" w:hAnsi="Times New Roman" w:cs="Times New Roman"/>
        </w:rPr>
        <w:footnoteRef/>
      </w:r>
      <w:r w:rsidRPr="00256D66">
        <w:rPr>
          <w:rFonts w:ascii="Times New Roman" w:hAnsi="Times New Roman" w:cs="Times New Roman"/>
        </w:rPr>
        <w:t xml:space="preserve"> The NLRB appointments </w:t>
      </w:r>
      <w:r>
        <w:rPr>
          <w:rFonts w:ascii="Times New Roman" w:hAnsi="Times New Roman" w:cs="Times New Roman"/>
        </w:rPr>
        <w:t>are</w:t>
      </w:r>
      <w:r w:rsidRPr="00256D66">
        <w:rPr>
          <w:rFonts w:ascii="Times New Roman" w:hAnsi="Times New Roman" w:cs="Times New Roman"/>
        </w:rPr>
        <w:t xml:space="preserve"> </w:t>
      </w:r>
      <w:r>
        <w:rPr>
          <w:rFonts w:ascii="Times New Roman" w:hAnsi="Times New Roman" w:cs="Times New Roman"/>
        </w:rPr>
        <w:t>being</w:t>
      </w:r>
      <w:r w:rsidRPr="00256D66">
        <w:rPr>
          <w:rFonts w:ascii="Times New Roman" w:hAnsi="Times New Roman" w:cs="Times New Roman"/>
        </w:rPr>
        <w:t xml:space="preserve"> challenged in a pending suit</w:t>
      </w:r>
      <w:r>
        <w:rPr>
          <w:rFonts w:ascii="Times New Roman" w:hAnsi="Times New Roman" w:cs="Times New Roman"/>
        </w:rPr>
        <w:t xml:space="preserve"> now pending in the Court of Appeals for the District of Columbia Circuit, </w:t>
      </w:r>
      <w:r>
        <w:rPr>
          <w:rFonts w:ascii="Times New Roman" w:hAnsi="Times New Roman" w:cs="Times New Roman"/>
          <w:i/>
        </w:rPr>
        <w:t xml:space="preserve">Noel Canning, A Division of Noel Canning Corporation v. NLRB, </w:t>
      </w:r>
      <w:r>
        <w:rPr>
          <w:rFonts w:ascii="Times New Roman" w:hAnsi="Times New Roman" w:cs="Times New Roman"/>
        </w:rPr>
        <w:t xml:space="preserve">Case Nos. 12-1115, 12-1153. The Cordray appointment is being challenged in </w:t>
      </w:r>
      <w:r>
        <w:rPr>
          <w:rFonts w:ascii="Times New Roman" w:hAnsi="Times New Roman" w:cs="Times New Roman"/>
          <w:i/>
        </w:rPr>
        <w:t xml:space="preserve">State National Bank of Big Spring, et al. v. Timothy Geithner, et </w:t>
      </w:r>
      <w:proofErr w:type="gramStart"/>
      <w:r>
        <w:rPr>
          <w:rFonts w:ascii="Times New Roman" w:hAnsi="Times New Roman" w:cs="Times New Roman"/>
          <w:i/>
        </w:rPr>
        <w:t>al .</w:t>
      </w:r>
      <w:proofErr w:type="gramEnd"/>
      <w:r>
        <w:rPr>
          <w:rFonts w:ascii="Times New Roman" w:hAnsi="Times New Roman" w:cs="Times New Roman"/>
          <w:i/>
        </w:rPr>
        <w:t>,</w:t>
      </w:r>
      <w:r>
        <w:rPr>
          <w:rFonts w:ascii="Times New Roman" w:hAnsi="Times New Roman" w:cs="Times New Roman"/>
        </w:rPr>
        <w:t>Case No. 2012-civ-01032 (ESH) (D.C.D.C., filed  June 21, 2012).</w:t>
      </w:r>
      <w:r>
        <w:rPr>
          <w:rFonts w:ascii="Times New Roman" w:hAnsi="Times New Roman" w:cs="Times New Roman"/>
          <w:i/>
        </w:rPr>
        <w:t xml:space="preserve"> </w:t>
      </w:r>
      <w:r>
        <w:rPr>
          <w:rFonts w:ascii="Times New Roman" w:hAnsi="Times New Roman" w:cs="Times New Roman"/>
        </w:rPr>
        <w:t xml:space="preserve">Two challenges to the NLRB appointments have been dismissed as premature and not ripe for adjudication. </w:t>
      </w:r>
      <w:r>
        <w:rPr>
          <w:rFonts w:ascii="Times New Roman" w:hAnsi="Times New Roman" w:cs="Times New Roman"/>
          <w:i/>
        </w:rPr>
        <w:t>Nat</w:t>
      </w:r>
      <w:r w:rsidRPr="00256D66">
        <w:rPr>
          <w:rFonts w:ascii="Times New Roman" w:hAnsi="Times New Roman" w:cs="Times New Roman"/>
          <w:i/>
          <w:iCs/>
        </w:rPr>
        <w:t xml:space="preserve">ional Association of Manufacturers v. NLRB, </w:t>
      </w:r>
      <w:r w:rsidRPr="00256D66">
        <w:rPr>
          <w:rFonts w:ascii="Times New Roman" w:hAnsi="Times New Roman" w:cs="Times New Roman"/>
        </w:rPr>
        <w:t>Case No. 1:11-cv-01629-ABJ</w:t>
      </w:r>
      <w:r>
        <w:rPr>
          <w:rFonts w:ascii="Times New Roman" w:hAnsi="Times New Roman" w:cs="Times New Roman"/>
        </w:rPr>
        <w:t xml:space="preserve"> </w:t>
      </w:r>
      <w:r w:rsidRPr="00256D66">
        <w:rPr>
          <w:rFonts w:ascii="Times New Roman" w:hAnsi="Times New Roman" w:cs="Times New Roman"/>
        </w:rPr>
        <w:t>(D.C.D.C.</w:t>
      </w:r>
      <w:r>
        <w:rPr>
          <w:rFonts w:ascii="Times New Roman" w:hAnsi="Times New Roman" w:cs="Times New Roman"/>
        </w:rPr>
        <w:t xml:space="preserve"> Mar. 2, 2012</w:t>
      </w:r>
      <w:r w:rsidRPr="00256D6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James G. Paulson v. Renaissance Equity Holdings, LLC, </w:t>
      </w:r>
      <w:proofErr w:type="gramStart"/>
      <w:r>
        <w:rPr>
          <w:rFonts w:ascii="Times New Roman" w:hAnsi="Times New Roman" w:cs="Times New Roman"/>
        </w:rPr>
        <w:t>Case</w:t>
      </w:r>
      <w:proofErr w:type="gramEnd"/>
      <w:r>
        <w:rPr>
          <w:rFonts w:ascii="Times New Roman" w:hAnsi="Times New Roman" w:cs="Times New Roman"/>
        </w:rPr>
        <w:t xml:space="preserve"> N0. 12-civ-0350 (BMC), D.C. E.D. N.Y., Mar. 27, 2012</w:t>
      </w:r>
      <w:proofErr w:type="gramStart"/>
      <w:r>
        <w:rPr>
          <w:rFonts w:ascii="Times New Roman" w:hAnsi="Times New Roman" w:cs="Times New Roman"/>
        </w:rPr>
        <w:t>.</w:t>
      </w:r>
      <w:r>
        <w:rPr>
          <w:rFonts w:ascii="Times New Roman" w:hAnsi="Times New Roman" w:cs="Times New Roman"/>
          <w:i/>
        </w:rPr>
        <w:t>.</w:t>
      </w:r>
      <w:proofErr w:type="gramEnd"/>
    </w:p>
  </w:footnote>
  <w:footnote w:id="9">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w:t>
      </w:r>
      <w:proofErr w:type="gramStart"/>
      <w:r w:rsidRPr="00DF0FC2">
        <w:rPr>
          <w:rFonts w:ascii="Times New Roman" w:hAnsi="Times New Roman" w:cs="Times New Roman"/>
        </w:rPr>
        <w:t>Public Law No. 111-203 (2010).</w:t>
      </w:r>
      <w:proofErr w:type="gramEnd"/>
      <w:r w:rsidRPr="00DF0FC2">
        <w:rPr>
          <w:rFonts w:ascii="Times New Roman" w:hAnsi="Times New Roman" w:cs="Times New Roman"/>
        </w:rPr>
        <w:t xml:space="preserve"> Subtitle F authorized the Treasury Secretary to perform the functions of that subtitle, which included overseeing the setup of the new agency and selecting the date of the transfer of personnel and authorities from seven </w:t>
      </w:r>
      <w:r>
        <w:rPr>
          <w:rFonts w:ascii="Times New Roman" w:hAnsi="Times New Roman" w:cs="Times New Roman"/>
        </w:rPr>
        <w:t xml:space="preserve">other </w:t>
      </w:r>
      <w:r w:rsidRPr="00DF0FC2">
        <w:rPr>
          <w:rFonts w:ascii="Times New Roman" w:hAnsi="Times New Roman" w:cs="Times New Roman"/>
        </w:rPr>
        <w:t xml:space="preserve">agencies. He was to perform these functions until a director </w:t>
      </w:r>
      <w:r>
        <w:rPr>
          <w:rFonts w:ascii="Times New Roman" w:hAnsi="Times New Roman" w:cs="Times New Roman"/>
        </w:rPr>
        <w:t>is</w:t>
      </w:r>
      <w:r w:rsidRPr="00DF0FC2">
        <w:rPr>
          <w:rFonts w:ascii="Times New Roman" w:hAnsi="Times New Roman" w:cs="Times New Roman"/>
        </w:rPr>
        <w:t xml:space="preserve"> confirmed. The Secretary interpreted his mission to allow him assume and exercise the </w:t>
      </w:r>
      <w:r>
        <w:rPr>
          <w:rFonts w:ascii="Times New Roman" w:hAnsi="Times New Roman" w:cs="Times New Roman"/>
        </w:rPr>
        <w:t>existing</w:t>
      </w:r>
      <w:r w:rsidRPr="00DF0FC2">
        <w:rPr>
          <w:rFonts w:ascii="Times New Roman" w:hAnsi="Times New Roman" w:cs="Times New Roman"/>
        </w:rPr>
        <w:t xml:space="preserve"> functions</w:t>
      </w:r>
      <w:r>
        <w:rPr>
          <w:rFonts w:ascii="Times New Roman" w:hAnsi="Times New Roman" w:cs="Times New Roman"/>
        </w:rPr>
        <w:t xml:space="preserve"> to be transferred to CFPB from other agencies</w:t>
      </w:r>
      <w:r w:rsidRPr="00DF0FC2">
        <w:rPr>
          <w:rFonts w:ascii="Times New Roman" w:hAnsi="Times New Roman" w:cs="Times New Roman"/>
        </w:rPr>
        <w:t>, but not any new authorities established else</w:t>
      </w:r>
      <w:r>
        <w:rPr>
          <w:rFonts w:ascii="Times New Roman" w:hAnsi="Times New Roman" w:cs="Times New Roman"/>
        </w:rPr>
        <w:t>where</w:t>
      </w:r>
      <w:r w:rsidRPr="00DF0FC2">
        <w:rPr>
          <w:rFonts w:ascii="Times New Roman" w:hAnsi="Times New Roman" w:cs="Times New Roman"/>
        </w:rPr>
        <w:t xml:space="preserve"> in the DFA, until a director </w:t>
      </w:r>
      <w:r>
        <w:rPr>
          <w:rFonts w:ascii="Times New Roman" w:hAnsi="Times New Roman" w:cs="Times New Roman"/>
        </w:rPr>
        <w:t>is</w:t>
      </w:r>
      <w:r w:rsidRPr="00DF0FC2">
        <w:rPr>
          <w:rFonts w:ascii="Times New Roman" w:hAnsi="Times New Roman" w:cs="Times New Roman"/>
        </w:rPr>
        <w:t xml:space="preserve"> confirmed. He did so until the Cordray appointment.</w:t>
      </w:r>
      <w:r>
        <w:rPr>
          <w:rFonts w:ascii="Times New Roman" w:hAnsi="Times New Roman" w:cs="Times New Roman"/>
        </w:rPr>
        <w:t xml:space="preserve"> Cordray is now exercising the full complement </w:t>
      </w:r>
      <w:r w:rsidR="0035693B">
        <w:rPr>
          <w:rFonts w:ascii="Times New Roman" w:hAnsi="Times New Roman" w:cs="Times New Roman"/>
        </w:rPr>
        <w:t xml:space="preserve">of </w:t>
      </w:r>
      <w:r>
        <w:rPr>
          <w:rFonts w:ascii="Times New Roman" w:hAnsi="Times New Roman" w:cs="Times New Roman"/>
        </w:rPr>
        <w:t>DFA authorities.</w:t>
      </w:r>
    </w:p>
  </w:footnote>
  <w:footnote w:id="10">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The Supreme Court held in </w:t>
      </w:r>
      <w:r w:rsidRPr="00256D66">
        <w:rPr>
          <w:rFonts w:ascii="Times New Roman" w:hAnsi="Times New Roman" w:cs="Times New Roman"/>
          <w:i/>
          <w:iCs/>
        </w:rPr>
        <w:t xml:space="preserve">New Process Steel, L.P. v. NLRB, </w:t>
      </w:r>
      <w:r w:rsidRPr="00256D66">
        <w:rPr>
          <w:rFonts w:ascii="Times New Roman" w:hAnsi="Times New Roman" w:cs="Times New Roman"/>
        </w:rPr>
        <w:t xml:space="preserve">130 S. Ct. 2635 (2010) that the </w:t>
      </w:r>
      <w:proofErr w:type="gramStart"/>
      <w:r w:rsidRPr="00256D66">
        <w:rPr>
          <w:rFonts w:ascii="Times New Roman" w:hAnsi="Times New Roman" w:cs="Times New Roman"/>
        </w:rPr>
        <w:t xml:space="preserve">Board  </w:t>
      </w:r>
      <w:r w:rsidR="0035693B">
        <w:rPr>
          <w:rFonts w:ascii="Times New Roman" w:hAnsi="Times New Roman" w:cs="Times New Roman"/>
        </w:rPr>
        <w:t>cannot</w:t>
      </w:r>
      <w:proofErr w:type="gramEnd"/>
      <w:r w:rsidR="0035693B">
        <w:rPr>
          <w:rFonts w:ascii="Times New Roman" w:hAnsi="Times New Roman" w:cs="Times New Roman"/>
        </w:rPr>
        <w:t xml:space="preserve"> </w:t>
      </w:r>
      <w:r w:rsidRPr="00256D66">
        <w:rPr>
          <w:rFonts w:ascii="Times New Roman" w:hAnsi="Times New Roman" w:cs="Times New Roman"/>
        </w:rPr>
        <w:t>carry on substantive operations without at least three of its five members properly in office.</w:t>
      </w:r>
    </w:p>
  </w:footnote>
  <w:footnote w:id="11">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Under section 1018 of the Dodd-Frank Act, the Consumer Financial Protection Bureau was established on the date of enactment, July 21, 2010.  Mr. Cordray was nominated for the position of Director on July 18, 2011.</w:t>
      </w:r>
    </w:p>
  </w:footnote>
  <w:footnote w:id="12">
    <w:p w:rsidR="003A3CFC" w:rsidRDefault="003A3CFC">
      <w:pPr>
        <w:pStyle w:val="FootnoteText"/>
      </w:pPr>
      <w:r w:rsidRPr="009652F1">
        <w:rPr>
          <w:rStyle w:val="FootnoteReference"/>
          <w:rFonts w:ascii="Times New Roman" w:hAnsi="Times New Roman" w:cs="Times New Roman"/>
        </w:rPr>
        <w:footnoteRef/>
      </w:r>
      <w:r w:rsidRPr="009652F1">
        <w:rPr>
          <w:rFonts w:ascii="Times New Roman" w:hAnsi="Times New Roman" w:cs="Times New Roman"/>
        </w:rPr>
        <w:t xml:space="preserve"> Article II, sec. 2, cl. 2.  </w:t>
      </w:r>
    </w:p>
  </w:footnote>
  <w:footnote w:id="13">
    <w:p w:rsidR="003A3CFC" w:rsidRDefault="003A3CFC" w:rsidP="004D3A5B">
      <w:pPr>
        <w:pStyle w:val="FootnoteText"/>
      </w:pPr>
      <w:r w:rsidRPr="009652F1">
        <w:rPr>
          <w:rStyle w:val="FootnoteReference"/>
          <w:rFonts w:ascii="Times New Roman" w:hAnsi="Times New Roman" w:cs="Times New Roman"/>
        </w:rPr>
        <w:footnoteRef/>
      </w:r>
      <w:r w:rsidRPr="009652F1">
        <w:rPr>
          <w:rFonts w:ascii="Times New Roman" w:hAnsi="Times New Roman" w:cs="Times New Roman"/>
        </w:rPr>
        <w:t xml:space="preserve"> </w:t>
      </w:r>
      <w:proofErr w:type="gramStart"/>
      <w:r w:rsidRPr="009A1E3B">
        <w:rPr>
          <w:rFonts w:ascii="Times New Roman" w:hAnsi="Times New Roman" w:cs="Times New Roman"/>
        </w:rPr>
        <w:t>The Federalist No. 67, at 409-10 (Alexander Hamilton)(Clinton Rossiter ed. 1961).</w:t>
      </w:r>
      <w:proofErr w:type="gramEnd"/>
    </w:p>
  </w:footnote>
  <w:footnote w:id="14">
    <w:p w:rsidR="003A3CFC" w:rsidRDefault="003A3CFC">
      <w:pPr>
        <w:pStyle w:val="FootnoteText"/>
      </w:pPr>
      <w:r w:rsidRPr="009652F1">
        <w:rPr>
          <w:rStyle w:val="FootnoteReference"/>
          <w:rFonts w:ascii="Times New Roman" w:hAnsi="Times New Roman" w:cs="Times New Roman"/>
        </w:rPr>
        <w:footnoteRef/>
      </w:r>
      <w:r w:rsidRPr="009652F1">
        <w:rPr>
          <w:rFonts w:ascii="Times New Roman" w:hAnsi="Times New Roman" w:cs="Times New Roman"/>
        </w:rPr>
        <w:t xml:space="preserve"> See, e.g., Michael A. Carrier, When Is the Senate in Recess for the Purposes of the Recess Appointments Clause</w:t>
      </w:r>
      <w:proofErr w:type="gramStart"/>
      <w:r w:rsidRPr="009652F1">
        <w:rPr>
          <w:rFonts w:ascii="Times New Roman" w:hAnsi="Times New Roman" w:cs="Times New Roman"/>
        </w:rPr>
        <w:t>?,</w:t>
      </w:r>
      <w:proofErr w:type="gramEnd"/>
      <w:r w:rsidRPr="009652F1">
        <w:rPr>
          <w:rFonts w:ascii="Times New Roman" w:hAnsi="Times New Roman" w:cs="Times New Roman"/>
        </w:rPr>
        <w:t xml:space="preserve"> 92 Mich. L. Rev. 2204,2224-25 (1994).  </w:t>
      </w:r>
    </w:p>
  </w:footnote>
  <w:footnote w:id="15">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I The Records of the Federal Convention of 1797, at 21, 63, 119 (Max Farrand, ed. Rev. ed</w:t>
      </w:r>
      <w:r>
        <w:rPr>
          <w:rFonts w:ascii="Times New Roman" w:hAnsi="Times New Roman" w:cs="Times New Roman"/>
        </w:rPr>
        <w:t>.</w:t>
      </w:r>
      <w:r w:rsidRPr="00256D66">
        <w:rPr>
          <w:rFonts w:ascii="Times New Roman" w:hAnsi="Times New Roman" w:cs="Times New Roman"/>
        </w:rPr>
        <w:t xml:space="preserve"> 1966(Farrand)</w:t>
      </w:r>
    </w:p>
  </w:footnote>
  <w:footnote w:id="16">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2 Farrand at 185.</w:t>
      </w:r>
      <w:proofErr w:type="gramEnd"/>
    </w:p>
  </w:footnote>
  <w:footnote w:id="17">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Id. at 405.</w:t>
      </w:r>
      <w:proofErr w:type="gramEnd"/>
      <w:r w:rsidRPr="00256D66">
        <w:rPr>
          <w:rFonts w:ascii="Times New Roman" w:hAnsi="Times New Roman" w:cs="Times New Roman"/>
        </w:rPr>
        <w:t xml:space="preserve"> </w:t>
      </w:r>
    </w:p>
  </w:footnote>
  <w:footnote w:id="18">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Id. at 539.</w:t>
      </w:r>
      <w:proofErr w:type="gramEnd"/>
    </w:p>
  </w:footnote>
  <w:footnote w:id="19">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Id. at 539-40</w:t>
      </w:r>
    </w:p>
  </w:footnote>
  <w:footnote w:id="20">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Id. at 540.</w:t>
      </w:r>
      <w:proofErr w:type="gramEnd"/>
    </w:p>
  </w:footnote>
  <w:footnote w:id="21">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The Federalist No. 76, at 482.</w:t>
      </w:r>
      <w:proofErr w:type="gramEnd"/>
    </w:p>
  </w:footnote>
  <w:footnote w:id="22">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Id. at 483.</w:t>
      </w:r>
      <w:proofErr w:type="gramEnd"/>
    </w:p>
  </w:footnote>
  <w:footnote w:id="23">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Id.</w:t>
      </w:r>
    </w:p>
  </w:footnote>
  <w:footnote w:id="24">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See</w:t>
      </w:r>
      <w:proofErr w:type="gramStart"/>
      <w:r w:rsidRPr="00256D66">
        <w:rPr>
          <w:rFonts w:ascii="Times New Roman" w:hAnsi="Times New Roman" w:cs="Times New Roman"/>
        </w:rPr>
        <w:t>, .e.g</w:t>
      </w:r>
      <w:proofErr w:type="gramEnd"/>
      <w:r w:rsidRPr="00256D66">
        <w:rPr>
          <w:rFonts w:ascii="Times New Roman" w:hAnsi="Times New Roman" w:cs="Times New Roman"/>
        </w:rPr>
        <w:t xml:space="preserve">., </w:t>
      </w:r>
      <w:r w:rsidRPr="00256D66">
        <w:rPr>
          <w:rFonts w:ascii="Times New Roman" w:hAnsi="Times New Roman" w:cs="Times New Roman"/>
          <w:i/>
          <w:iCs/>
        </w:rPr>
        <w:t xml:space="preserve">Buckley v. Valeo, </w:t>
      </w:r>
      <w:r w:rsidRPr="00256D66">
        <w:rPr>
          <w:rFonts w:ascii="Times New Roman" w:hAnsi="Times New Roman" w:cs="Times New Roman"/>
        </w:rPr>
        <w:t xml:space="preserve">424 U.S. 1, 122,129-30 (1976); </w:t>
      </w:r>
      <w:r w:rsidRPr="00256D66">
        <w:rPr>
          <w:rFonts w:ascii="Times New Roman" w:hAnsi="Times New Roman" w:cs="Times New Roman"/>
          <w:i/>
          <w:iCs/>
        </w:rPr>
        <w:t xml:space="preserve">Freytag v. Commissioner of Internal Revenue, </w:t>
      </w:r>
      <w:r w:rsidRPr="00256D66">
        <w:rPr>
          <w:rFonts w:ascii="Times New Roman" w:hAnsi="Times New Roman" w:cs="Times New Roman"/>
        </w:rPr>
        <w:t xml:space="preserve">501 U.S. 868, 878,883-84 (1991); </w:t>
      </w:r>
      <w:r w:rsidRPr="00256D66">
        <w:rPr>
          <w:rFonts w:ascii="Times New Roman" w:hAnsi="Times New Roman" w:cs="Times New Roman"/>
          <w:i/>
          <w:iCs/>
        </w:rPr>
        <w:t>Edmond v. United States,</w:t>
      </w:r>
      <w:r w:rsidRPr="00256D66">
        <w:rPr>
          <w:rFonts w:ascii="Times New Roman" w:hAnsi="Times New Roman" w:cs="Times New Roman"/>
        </w:rPr>
        <w:t xml:space="preserve"> 520 U.S. 651,650-60 (1997).   </w:t>
      </w:r>
    </w:p>
  </w:footnote>
  <w:footnote w:id="25">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Art. </w:t>
      </w:r>
      <w:proofErr w:type="gramStart"/>
      <w:r w:rsidRPr="00256D66">
        <w:rPr>
          <w:rFonts w:ascii="Times New Roman" w:hAnsi="Times New Roman" w:cs="Times New Roman"/>
        </w:rPr>
        <w:t>II, sec. 2, cl.2 and sec. 3.</w:t>
      </w:r>
      <w:proofErr w:type="gramEnd"/>
    </w:p>
  </w:footnote>
  <w:footnote w:id="26">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6853C7">
        <w:rPr>
          <w:rFonts w:ascii="Times New Roman" w:hAnsi="Times New Roman" w:cs="Times New Roman"/>
          <w:i/>
        </w:rPr>
        <w:t>Marbury v. Madison</w:t>
      </w:r>
      <w:r w:rsidRPr="00256D66">
        <w:rPr>
          <w:rFonts w:ascii="Times New Roman" w:hAnsi="Times New Roman" w:cs="Times New Roman"/>
        </w:rPr>
        <w:t>, 5 U.S. (1 Cranch) 137, 155-56 (1803</w:t>
      </w:r>
      <w:r>
        <w:rPr>
          <w:rFonts w:ascii="Times New Roman" w:hAnsi="Times New Roman" w:cs="Times New Roman"/>
        </w:rPr>
        <w:t>)</w:t>
      </w:r>
      <w:r w:rsidRPr="00256D66">
        <w:rPr>
          <w:rFonts w:ascii="Times New Roman" w:hAnsi="Times New Roman" w:cs="Times New Roman"/>
        </w:rPr>
        <w:t>; Dysart v. United States, 369 F. 3d 1303, 1306, 1311-12 (Fed. Cir. 2004).</w:t>
      </w:r>
    </w:p>
  </w:footnote>
  <w:footnote w:id="27">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6853C7">
        <w:rPr>
          <w:rFonts w:ascii="Times New Roman" w:hAnsi="Times New Roman" w:cs="Times New Roman"/>
          <w:i/>
        </w:rPr>
        <w:t>Marbury v. Madison</w:t>
      </w:r>
      <w:r w:rsidRPr="00256D66">
        <w:rPr>
          <w:rFonts w:ascii="Times New Roman" w:hAnsi="Times New Roman" w:cs="Times New Roman"/>
        </w:rPr>
        <w:t xml:space="preserve">, 5 U.S. at 155 (The nomination process is  “the sole act of the president” and “completely voluntary.”) </w:t>
      </w:r>
    </w:p>
  </w:footnote>
  <w:footnote w:id="28">
    <w:p w:rsidR="003A3CFC" w:rsidRPr="000A428D"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6853C7">
        <w:rPr>
          <w:rFonts w:ascii="Times New Roman" w:hAnsi="Times New Roman" w:cs="Times New Roman"/>
          <w:i/>
        </w:rPr>
        <w:t>Buckley v. Valeo</w:t>
      </w:r>
      <w:r w:rsidRPr="00256D66">
        <w:rPr>
          <w:rFonts w:ascii="Times New Roman" w:hAnsi="Times New Roman" w:cs="Times New Roman"/>
        </w:rPr>
        <w:t>, 424 U</w:t>
      </w:r>
      <w:r>
        <w:rPr>
          <w:rFonts w:ascii="Times New Roman" w:hAnsi="Times New Roman" w:cs="Times New Roman"/>
        </w:rPr>
        <w:t>.</w:t>
      </w:r>
      <w:r w:rsidRPr="00256D66">
        <w:rPr>
          <w:rFonts w:ascii="Times New Roman" w:hAnsi="Times New Roman" w:cs="Times New Roman"/>
        </w:rPr>
        <w:t>S. 1, 128-31 (1976); Springer v. Philippine Islands, 277 U.S. 189, 201-02 (1928)</w:t>
      </w:r>
      <w:r>
        <w:rPr>
          <w:rFonts w:ascii="Times New Roman" w:hAnsi="Times New Roman" w:cs="Times New Roman"/>
        </w:rPr>
        <w:t xml:space="preserve">; </w:t>
      </w:r>
      <w:r>
        <w:rPr>
          <w:rFonts w:ascii="Times New Roman" w:hAnsi="Times New Roman" w:cs="Times New Roman"/>
          <w:i/>
        </w:rPr>
        <w:t xml:space="preserve">Olympic Savings &amp; Loan Assn. v. Director, OTS, </w:t>
      </w:r>
      <w:r>
        <w:rPr>
          <w:rFonts w:ascii="Times New Roman" w:hAnsi="Times New Roman" w:cs="Times New Roman"/>
        </w:rPr>
        <w:t>732 F. Supp. 1183, 1192-93 (D.D.C. 1990),</w:t>
      </w:r>
      <w:r w:rsidR="00C659A6">
        <w:rPr>
          <w:rFonts w:ascii="Times New Roman" w:hAnsi="Times New Roman" w:cs="Times New Roman"/>
        </w:rPr>
        <w:t xml:space="preserve"> </w:t>
      </w:r>
      <w:r>
        <w:rPr>
          <w:rFonts w:ascii="Times New Roman" w:hAnsi="Times New Roman" w:cs="Times New Roman"/>
          <w:i/>
        </w:rPr>
        <w:t xml:space="preserve">appeal dismissed as moot, </w:t>
      </w:r>
      <w:r>
        <w:rPr>
          <w:rFonts w:ascii="Times New Roman" w:hAnsi="Times New Roman" w:cs="Times New Roman"/>
        </w:rPr>
        <w:t>903 F. 2d 837 (D.C. Cir. 1990)(</w:t>
      </w:r>
      <w:r>
        <w:rPr>
          <w:rFonts w:ascii="Times New Roman" w:hAnsi="Times New Roman" w:cs="Times New Roman"/>
          <w:i/>
        </w:rPr>
        <w:t>Olympic).</w:t>
      </w:r>
    </w:p>
  </w:footnote>
  <w:footnote w:id="29">
    <w:p w:rsidR="003A3CFC" w:rsidRDefault="003A3CFC">
      <w:pPr>
        <w:pStyle w:val="FootnoteText"/>
      </w:pPr>
      <w:r w:rsidRPr="006853C7">
        <w:rPr>
          <w:rStyle w:val="FootnoteReference"/>
          <w:rFonts w:ascii="Times New Roman" w:hAnsi="Times New Roman" w:cs="Times New Roman"/>
          <w:i/>
        </w:rPr>
        <w:footnoteRef/>
      </w:r>
      <w:r w:rsidRPr="006853C7">
        <w:rPr>
          <w:rFonts w:ascii="Times New Roman" w:hAnsi="Times New Roman" w:cs="Times New Roman"/>
          <w:i/>
        </w:rPr>
        <w:t xml:space="preserve"> Marbury</w:t>
      </w:r>
      <w:r w:rsidRPr="00256D66">
        <w:rPr>
          <w:rFonts w:ascii="Times New Roman" w:hAnsi="Times New Roman" w:cs="Times New Roman"/>
        </w:rPr>
        <w:t>, 5 U.S. at 165-67; Dysart, 369 F.3d at 1317.</w:t>
      </w:r>
    </w:p>
  </w:footnote>
  <w:footnote w:id="30">
    <w:p w:rsidR="003A3CFC" w:rsidRDefault="003A3CFC">
      <w:pPr>
        <w:pStyle w:val="FootnoteText"/>
      </w:pPr>
      <w:r>
        <w:rPr>
          <w:rStyle w:val="FootnoteReference"/>
        </w:rPr>
        <w:footnoteRef/>
      </w:r>
      <w:r>
        <w:t xml:space="preserve"> </w:t>
      </w:r>
      <w:proofErr w:type="gramStart"/>
      <w:r>
        <w:t xml:space="preserve">See, Ann Joseph O’Connell, </w:t>
      </w:r>
      <w:r>
        <w:rPr>
          <w:i/>
        </w:rPr>
        <w:t xml:space="preserve">Vacant Office Delays in Staffing Top Agency Positions,” </w:t>
      </w:r>
      <w:r>
        <w:t>82 So.</w:t>
      </w:r>
      <w:proofErr w:type="gramEnd"/>
      <w:r>
        <w:t xml:space="preserve"> Cal. L. Rev. 913 (2009)(O’Connell)</w:t>
      </w:r>
      <w:proofErr w:type="gramStart"/>
      <w:r>
        <w:t>..</w:t>
      </w:r>
      <w:proofErr w:type="gramEnd"/>
      <w:r>
        <w:t xml:space="preserve"> </w:t>
      </w:r>
    </w:p>
  </w:footnote>
  <w:footnote w:id="31">
    <w:p w:rsidR="003A3CFC" w:rsidRPr="00DA6925" w:rsidRDefault="003A3CFC">
      <w:pPr>
        <w:pStyle w:val="FootnoteText"/>
        <w:rPr>
          <w:i/>
        </w:rPr>
      </w:pPr>
      <w:r>
        <w:rPr>
          <w:rStyle w:val="FootnoteReference"/>
        </w:rPr>
        <w:footnoteRef/>
      </w:r>
      <w:r>
        <w:t xml:space="preserve"> See, Special Panel on Department of Energy Reorganization, House Committee on Armed Services, “</w:t>
      </w:r>
      <w:r>
        <w:rPr>
          <w:i/>
        </w:rPr>
        <w:t xml:space="preserve">Establishing The National Nuclear Security Administration: A Year of Obstacles and Opportunities” </w:t>
      </w:r>
      <w:r>
        <w:t>1-2</w:t>
      </w:r>
      <w:r>
        <w:rPr>
          <w:i/>
        </w:rPr>
        <w:t xml:space="preserve"> </w:t>
      </w:r>
      <w:r>
        <w:t>(October 13, 2000)(Special Panel Report).</w:t>
      </w:r>
      <w:r>
        <w:rPr>
          <w:i/>
        </w:rPr>
        <w:t xml:space="preserve"> </w:t>
      </w:r>
    </w:p>
  </w:footnote>
  <w:footnote w:id="32">
    <w:p w:rsidR="003A3CFC" w:rsidRDefault="003A3CFC">
      <w:pPr>
        <w:pStyle w:val="FootnoteText"/>
      </w:pPr>
      <w:r>
        <w:rPr>
          <w:rStyle w:val="FootnoteReference"/>
        </w:rPr>
        <w:footnoteRef/>
      </w:r>
      <w:r>
        <w:t xml:space="preserve"> Public Law 106-65, Title XXXII, 113 Stat. 512, 953-971 (October 5, 1999).</w:t>
      </w:r>
    </w:p>
  </w:footnote>
  <w:footnote w:id="33">
    <w:p w:rsidR="003A3CFC" w:rsidRDefault="003A3CFC">
      <w:pPr>
        <w:pStyle w:val="FootnoteText"/>
      </w:pPr>
      <w:r>
        <w:rPr>
          <w:rStyle w:val="FootnoteReference"/>
        </w:rPr>
        <w:footnoteRef/>
      </w:r>
      <w:r>
        <w:t xml:space="preserve"> </w:t>
      </w:r>
      <w:proofErr w:type="gramStart"/>
      <w:r>
        <w:t>35 Wkly. Comp.</w:t>
      </w:r>
      <w:proofErr w:type="gramEnd"/>
      <w:r>
        <w:t xml:space="preserve"> Pres. Docs. </w:t>
      </w:r>
      <w:proofErr w:type="gramStart"/>
      <w:r>
        <w:t>1927-30 (1999).</w:t>
      </w:r>
      <w:proofErr w:type="gramEnd"/>
    </w:p>
  </w:footnote>
  <w:footnote w:id="34">
    <w:p w:rsidR="003A3CFC" w:rsidRDefault="003A3CFC">
      <w:pPr>
        <w:pStyle w:val="FootnoteText"/>
      </w:pPr>
      <w:r>
        <w:rPr>
          <w:rStyle w:val="FootnoteReference"/>
        </w:rPr>
        <w:footnoteRef/>
      </w:r>
      <w:r>
        <w:t xml:space="preserve"> See, Hearings on the National Nuclear Security Administration before the Special Oversight Panel On Department of Energy Reorganization of the House Committee onArmed Services, 106 th Cong., 2d Sess.  (March 2 and 16 2000)((H.A.S.C. No. 106-48). See also, Establishing the National Nuclear Security Administration: A Year of Obstacle and Opportunities, An assessment by the Special Oversight Panel on the Department of Energy Reorganization, Committee on Armed Services, U.S. House of Representatives (October 13, 2000), accessed at http://www.hsdl.org/</w:t>
      </w:r>
      <w:proofErr w:type="gramStart"/>
      <w:r>
        <w:t>?view</w:t>
      </w:r>
      <w:proofErr w:type="gramEnd"/>
      <w:r>
        <w:t>&amp;did=440076</w:t>
      </w:r>
    </w:p>
  </w:footnote>
  <w:footnote w:id="35">
    <w:p w:rsidR="003A3CFC" w:rsidRDefault="003A3CFC">
      <w:pPr>
        <w:pStyle w:val="FootnoteText"/>
      </w:pPr>
      <w:r>
        <w:rPr>
          <w:rStyle w:val="FootnoteReference"/>
        </w:rPr>
        <w:footnoteRef/>
      </w:r>
      <w:r>
        <w:t xml:space="preserve"> See, id</w:t>
      </w:r>
      <w:proofErr w:type="gramStart"/>
      <w:r>
        <w:t>.,</w:t>
      </w:r>
      <w:proofErr w:type="gramEnd"/>
      <w:r>
        <w:t xml:space="preserve"> testimony of Morton Rosenberg at 6-9, 71. </w:t>
      </w:r>
    </w:p>
  </w:footnote>
  <w:footnote w:id="36">
    <w:p w:rsidR="003A3CFC" w:rsidRDefault="003A3CFC">
      <w:pPr>
        <w:pStyle w:val="FootnoteText"/>
      </w:pPr>
      <w:r>
        <w:rPr>
          <w:rStyle w:val="FootnoteReference"/>
        </w:rPr>
        <w:footnoteRef/>
      </w:r>
      <w:r>
        <w:t xml:space="preserve"> See </w:t>
      </w:r>
      <w:proofErr w:type="gramStart"/>
      <w:r>
        <w:t>House  Conference</w:t>
      </w:r>
      <w:proofErr w:type="gramEnd"/>
      <w:r>
        <w:t xml:space="preserve"> Report  106-945, enacted into law Pub. L. 106-398, Title XXX</w:t>
      </w:r>
      <w:proofErr w:type="gramStart"/>
      <w:r>
        <w:t>!,</w:t>
      </w:r>
      <w:proofErr w:type="gramEnd"/>
      <w:r>
        <w:t xml:space="preserve"> Subtitle D, secs. </w:t>
      </w:r>
      <w:proofErr w:type="gramStart"/>
      <w:r>
        <w:t>3151, 3157, 3159, 114 Stat. 1654 (2000).</w:t>
      </w:r>
      <w:proofErr w:type="gramEnd"/>
    </w:p>
  </w:footnote>
  <w:footnote w:id="37">
    <w:p w:rsidR="003A3CFC" w:rsidRDefault="003A3CFC">
      <w:pPr>
        <w:pStyle w:val="FootnoteText"/>
      </w:pPr>
      <w:r>
        <w:rPr>
          <w:rStyle w:val="FootnoteReference"/>
        </w:rPr>
        <w:footnoteRef/>
      </w:r>
      <w:r>
        <w:t xml:space="preserve"> Hearing, “Where Are ll the Watchdogs? Addressing Inspector General Vacancies,” before the House Committee on Oversight and Government Reform, 112</w:t>
      </w:r>
      <w:r w:rsidRPr="002B3688">
        <w:rPr>
          <w:vertAlign w:val="superscript"/>
        </w:rPr>
        <w:t>th</w:t>
      </w:r>
      <w:r>
        <w:t xml:space="preserve"> Cong., 2d Sess. (May 10,2012)(IG Vacancies Hearing).</w:t>
      </w:r>
    </w:p>
  </w:footnote>
  <w:footnote w:id="38">
    <w:p w:rsidR="003A3CFC" w:rsidRDefault="003A3CFC">
      <w:pPr>
        <w:pStyle w:val="FootnoteText"/>
      </w:pPr>
      <w:r>
        <w:rPr>
          <w:rStyle w:val="FootnoteReference"/>
        </w:rPr>
        <w:footnoteRef/>
      </w:r>
      <w:r>
        <w:t xml:space="preserve"> An eighth IG position, that of the Special Inspector General for Afghanistan Reconstruction (SIGAR), requires only presidential designation but none had made been as of the date of the hearing. The position had been vacant for over 15 months. On May 23, 2012, President Obama announced the appointment John Sopko to the position.</w:t>
      </w:r>
    </w:p>
  </w:footnote>
  <w:footnote w:id="39">
    <w:p w:rsidR="003A3CFC" w:rsidRDefault="003A3CFC">
      <w:pPr>
        <w:pStyle w:val="FootnoteText"/>
      </w:pPr>
      <w:r>
        <w:rPr>
          <w:rStyle w:val="FootnoteReference"/>
        </w:rPr>
        <w:footnoteRef/>
      </w:r>
      <w:r>
        <w:t xml:space="preserve"> Vacancies Act Hearing, testimony of Jake Weins.</w:t>
      </w:r>
    </w:p>
  </w:footnote>
  <w:footnote w:id="40">
    <w:p w:rsidR="003A3CFC" w:rsidRDefault="003A3CFC">
      <w:pPr>
        <w:pStyle w:val="FootnoteText"/>
      </w:pPr>
      <w:r>
        <w:rPr>
          <w:rStyle w:val="FootnoteReference"/>
        </w:rPr>
        <w:footnoteRef/>
      </w:r>
      <w:r>
        <w:t xml:space="preserve"> Id.</w:t>
      </w:r>
    </w:p>
  </w:footnote>
  <w:footnote w:id="41">
    <w:p w:rsidR="003A3CFC" w:rsidRDefault="003A3CFC">
      <w:pPr>
        <w:pStyle w:val="FootnoteText"/>
      </w:pPr>
      <w:r>
        <w:rPr>
          <w:rStyle w:val="FootnoteReference"/>
        </w:rPr>
        <w:footnoteRef/>
      </w:r>
      <w:r>
        <w:t xml:space="preserve"> Pub. L. 111-203, 124 Stat. 1373 (2010).</w:t>
      </w:r>
    </w:p>
  </w:footnote>
  <w:footnote w:id="42">
    <w:p w:rsidR="003A3CFC" w:rsidRDefault="003A3CFC">
      <w:pPr>
        <w:pStyle w:val="FootnoteText"/>
      </w:pPr>
      <w:r>
        <w:rPr>
          <w:rStyle w:val="FootnoteReference"/>
        </w:rPr>
        <w:footnoteRef/>
      </w:r>
      <w:r>
        <w:t xml:space="preserve"> Emphasis supplied.</w:t>
      </w:r>
    </w:p>
  </w:footnote>
  <w:footnote w:id="43">
    <w:p w:rsidR="003A3CFC" w:rsidRDefault="003A3CFC">
      <w:pPr>
        <w:pStyle w:val="FootnoteText"/>
      </w:pPr>
      <w:r>
        <w:rPr>
          <w:rStyle w:val="FootnoteReference"/>
        </w:rPr>
        <w:footnoteRef/>
      </w:r>
      <w:r>
        <w:t xml:space="preserve"> Under DFA Section 1062 (c) the Secretary could have delayed the transfer date for six months by simply publishing a notice of extension in the Federal register. The effect of the delay would have allowed the consumer protection functions to remain with the seven agencies and cointnue to be implemented by them.</w:t>
      </w:r>
    </w:p>
  </w:footnote>
  <w:footnote w:id="44">
    <w:p w:rsidR="003A3CFC" w:rsidRDefault="003A3CFC">
      <w:pPr>
        <w:pStyle w:val="FootnoteText"/>
      </w:pPr>
      <w:r>
        <w:rPr>
          <w:rStyle w:val="FootnoteReference"/>
        </w:rPr>
        <w:footnoteRef/>
      </w:r>
      <w:r>
        <w:t xml:space="preserve"> There is currently no nomination pending for the office. DOJ has apparently concluded that 5 U.S.C 5503, which requires a nomination be submitted within 40 days of the return of the Senate after a recess</w:t>
      </w:r>
      <w:proofErr w:type="gramStart"/>
      <w:r>
        <w:t>,  in</w:t>
      </w:r>
      <w:proofErr w:type="gramEnd"/>
      <w:r>
        <w:t xml:space="preserve"> order allow a recess appointee to be paid, does not apply because the Director is paid by nonappropriated funds of the Federal Reserve Board</w:t>
      </w:r>
      <w:r w:rsidR="008F2DB8">
        <w:t xml:space="preserve"> which are except</w:t>
      </w:r>
      <w:r w:rsidR="00B6034D">
        <w:t>ed from requirement.</w:t>
      </w:r>
      <w:r>
        <w:t xml:space="preserve">.  </w:t>
      </w:r>
    </w:p>
  </w:footnote>
  <w:footnote w:id="45">
    <w:p w:rsidR="003A3CFC" w:rsidRDefault="003A3CFC">
      <w:pPr>
        <w:pStyle w:val="FootnoteText"/>
      </w:pPr>
      <w:r>
        <w:rPr>
          <w:rStyle w:val="FootnoteReference"/>
        </w:rPr>
        <w:footnoteRef/>
      </w:r>
      <w:r>
        <w:t xml:space="preserve"> </w:t>
      </w:r>
      <w:r>
        <w:rPr>
          <w:i/>
        </w:rPr>
        <w:t xml:space="preserve">Olympic, supra </w:t>
      </w:r>
      <w:r>
        <w:t xml:space="preserve">n. 28, 732 F. Supp. at 1194-96; </w:t>
      </w:r>
      <w:r>
        <w:rPr>
          <w:i/>
        </w:rPr>
        <w:t xml:space="preserve">Franklin Savings </w:t>
      </w:r>
      <w:proofErr w:type="gramStart"/>
      <w:r>
        <w:rPr>
          <w:i/>
        </w:rPr>
        <w:t>Ass’n  v</w:t>
      </w:r>
      <w:proofErr w:type="gramEnd"/>
      <w:r>
        <w:rPr>
          <w:i/>
        </w:rPr>
        <w:t xml:space="preserve">. Director, OTS, </w:t>
      </w:r>
      <w:r>
        <w:t>740 F. Supp. 1535, 1539 (D. Kansas 1990).</w:t>
      </w:r>
      <w:r>
        <w:rPr>
          <w:i/>
        </w:rPr>
        <w:t xml:space="preserve">  </w:t>
      </w:r>
      <w:r>
        <w:t xml:space="preserve">  </w:t>
      </w:r>
    </w:p>
  </w:footnote>
  <w:footnote w:id="46">
    <w:p w:rsidR="003A3CFC" w:rsidRDefault="003A3CFC">
      <w:pPr>
        <w:pStyle w:val="FootnoteText"/>
      </w:pPr>
      <w:r>
        <w:rPr>
          <w:rStyle w:val="FootnoteReference"/>
        </w:rPr>
        <w:footnoteRef/>
      </w:r>
      <w:r>
        <w:t xml:space="preserve"> </w:t>
      </w:r>
      <w:proofErr w:type="gramStart"/>
      <w:r>
        <w:t>Pub L. 110-289, 122 Stat. 2654 (2008).</w:t>
      </w:r>
      <w:proofErr w:type="gramEnd"/>
    </w:p>
  </w:footnote>
  <w:footnote w:id="47">
    <w:p w:rsidR="003A3CFC" w:rsidRDefault="003A3CFC">
      <w:pPr>
        <w:pStyle w:val="FootnoteText"/>
      </w:pPr>
      <w:r>
        <w:rPr>
          <w:rStyle w:val="FootnoteReference"/>
        </w:rPr>
        <w:footnoteRef/>
      </w:r>
      <w:r>
        <w:t xml:space="preserve"> FHFA is not subject OMB legislative clearance and apportionment requirements or to congressional appropriations oversight since it receives its operational funding from assessments on Fannie, Freddie and the Home Loan Banks. </w:t>
      </w:r>
    </w:p>
  </w:footnote>
  <w:footnote w:id="48">
    <w:p w:rsidR="003A3CFC" w:rsidRDefault="003A3CFC">
      <w:pPr>
        <w:pStyle w:val="FootnoteText"/>
      </w:pPr>
      <w:r>
        <w:rPr>
          <w:rStyle w:val="FootnoteReference"/>
        </w:rPr>
        <w:footnoteRef/>
      </w:r>
      <w:r>
        <w:t xml:space="preserve"> </w:t>
      </w:r>
      <w:proofErr w:type="gramStart"/>
      <w:r>
        <w:t>12 U.S.C. 4511 (b) (5).</w:t>
      </w:r>
      <w:proofErr w:type="gramEnd"/>
    </w:p>
  </w:footnote>
  <w:footnote w:id="49">
    <w:p w:rsidR="003A3CFC" w:rsidRDefault="003A3CFC">
      <w:pPr>
        <w:pStyle w:val="FootnoteText"/>
      </w:pPr>
      <w:r>
        <w:rPr>
          <w:rStyle w:val="FootnoteReference"/>
        </w:rPr>
        <w:footnoteRef/>
      </w:r>
      <w:r>
        <w:t xml:space="preserve"> </w:t>
      </w:r>
      <w:proofErr w:type="gramStart"/>
      <w:r>
        <w:t>12 U.S.C. 4511 (f)(emphasis supplied).</w:t>
      </w:r>
      <w:proofErr w:type="gramEnd"/>
    </w:p>
  </w:footnote>
  <w:footnote w:id="50">
    <w:p w:rsidR="003A3CFC" w:rsidRDefault="003A3CFC">
      <w:pPr>
        <w:pStyle w:val="FootnoteText"/>
      </w:pPr>
      <w:r>
        <w:rPr>
          <w:rStyle w:val="FootnoteReference"/>
        </w:rPr>
        <w:footnoteRef/>
      </w:r>
      <w:r>
        <w:t xml:space="preserve"> See, The Annual Report of the Council of Inspectors General on Financial Oversight-July 2012, pp. 40-48 (detailing recent examples of the FHFA-OIG’s Financial Oversight work).</w:t>
      </w:r>
    </w:p>
  </w:footnote>
  <w:footnote w:id="51">
    <w:p w:rsidR="003A3CFC" w:rsidRPr="00166116" w:rsidRDefault="003A3CFC">
      <w:pPr>
        <w:pStyle w:val="FootnoteText"/>
        <w:rPr>
          <w:i/>
        </w:rPr>
      </w:pPr>
      <w:r>
        <w:rPr>
          <w:rStyle w:val="FootnoteReference"/>
        </w:rPr>
        <w:footnoteRef/>
      </w:r>
      <w:r>
        <w:t xml:space="preserve"> See, </w:t>
      </w:r>
      <w:r>
        <w:rPr>
          <w:i/>
        </w:rPr>
        <w:t xml:space="preserve">Ohio Public Employees Retirement System, et al.  v. Federal Housing Finance Agency, et al., </w:t>
      </w:r>
      <w:proofErr w:type="gramStart"/>
      <w:r>
        <w:t>Case</w:t>
      </w:r>
      <w:proofErr w:type="gramEnd"/>
      <w:r>
        <w:t xml:space="preserve"> No. 1:11-cv-01543 (RJL), (D.C.D.C.). </w:t>
      </w:r>
      <w:r>
        <w:rPr>
          <w:i/>
        </w:rPr>
        <w:t xml:space="preserve"> </w:t>
      </w:r>
    </w:p>
  </w:footnote>
  <w:footnote w:id="52">
    <w:p w:rsidR="00340980" w:rsidRDefault="00340980">
      <w:pPr>
        <w:pStyle w:val="FootnoteText"/>
      </w:pPr>
      <w:r>
        <w:rPr>
          <w:rStyle w:val="FootnoteReference"/>
        </w:rPr>
        <w:footnoteRef/>
      </w:r>
      <w:r>
        <w:t xml:space="preserve"> DFA, Section 152 (a)(1)</w:t>
      </w:r>
      <w:proofErr w:type="gramStart"/>
      <w:r>
        <w:t>,(</w:t>
      </w:r>
      <w:proofErr w:type="gramEnd"/>
      <w:r>
        <w:t>2) and (5).</w:t>
      </w:r>
    </w:p>
  </w:footnote>
  <w:footnote w:id="53">
    <w:p w:rsidR="00F128A2" w:rsidRDefault="00F128A2">
      <w:pPr>
        <w:pStyle w:val="FootnoteText"/>
      </w:pPr>
      <w:r>
        <w:rPr>
          <w:rStyle w:val="FootnoteReference"/>
        </w:rPr>
        <w:footnoteRef/>
      </w:r>
      <w:r>
        <w:t xml:space="preserve"> DFA, Section 153 (a).</w:t>
      </w:r>
    </w:p>
  </w:footnote>
  <w:footnote w:id="54">
    <w:p w:rsidR="00836109" w:rsidRDefault="00836109">
      <w:pPr>
        <w:pStyle w:val="FootnoteText"/>
      </w:pPr>
      <w:r>
        <w:rPr>
          <w:rStyle w:val="FootnoteReference"/>
        </w:rPr>
        <w:footnoteRef/>
      </w:r>
      <w:r>
        <w:t xml:space="preserve"> DFA, Section 153 (c) (2).</w:t>
      </w:r>
    </w:p>
  </w:footnote>
  <w:footnote w:id="55">
    <w:p w:rsidR="002E0D4A" w:rsidRDefault="002E0D4A">
      <w:pPr>
        <w:pStyle w:val="FootnoteText"/>
      </w:pPr>
      <w:r>
        <w:rPr>
          <w:rStyle w:val="FootnoteReference"/>
        </w:rPr>
        <w:footnoteRef/>
      </w:r>
      <w:r>
        <w:t xml:space="preserve"> </w:t>
      </w:r>
      <w:proofErr w:type="gramStart"/>
      <w:r>
        <w:t>DFA, Section 153 (d)(1)(2).</w:t>
      </w:r>
      <w:proofErr w:type="gramEnd"/>
    </w:p>
  </w:footnote>
  <w:footnote w:id="56">
    <w:p w:rsidR="002E0D4A" w:rsidRDefault="002E0D4A">
      <w:pPr>
        <w:pStyle w:val="FootnoteText"/>
      </w:pPr>
      <w:r>
        <w:rPr>
          <w:rStyle w:val="FootnoteReference"/>
        </w:rPr>
        <w:footnoteRef/>
      </w:r>
      <w:r>
        <w:t xml:space="preserve"> DFA, Section 153 (f)(1)</w:t>
      </w:r>
      <w:r w:rsidR="00720414">
        <w:t>-</w:t>
      </w:r>
      <w:r>
        <w:t>(3)</w:t>
      </w:r>
      <w:r w:rsidR="00720414">
        <w:t>.</w:t>
      </w:r>
    </w:p>
  </w:footnote>
  <w:footnote w:id="57">
    <w:p w:rsidR="00D77D62" w:rsidRDefault="00D77D62">
      <w:pPr>
        <w:pStyle w:val="FootnoteText"/>
      </w:pPr>
      <w:r>
        <w:rPr>
          <w:rStyle w:val="FootnoteReference"/>
        </w:rPr>
        <w:footnoteRef/>
      </w:r>
      <w:r>
        <w:t xml:space="preserve"> </w:t>
      </w:r>
      <w:r w:rsidR="001F2F3E">
        <w:t>Jennifer S. Taub, “Great Expectations for the Office of Financial Research,” in “Will It Work? How Will We Know?</w:t>
      </w:r>
      <w:proofErr w:type="gramStart"/>
      <w:r w:rsidR="001F2F3E">
        <w:t>”:</w:t>
      </w:r>
      <w:proofErr w:type="gramEnd"/>
      <w:r w:rsidR="001F2F3E">
        <w:t xml:space="preserve"> The Future of Financial Reform,” 23-28, The Roosevelt Institute Project on Global Finance (October 2010</w:t>
      </w:r>
      <w:r w:rsidR="00470E3A">
        <w:t>).</w:t>
      </w:r>
    </w:p>
  </w:footnote>
  <w:footnote w:id="58">
    <w:p w:rsidR="00AB45F7" w:rsidRDefault="00AB45F7">
      <w:pPr>
        <w:pStyle w:val="FootnoteText"/>
      </w:pPr>
      <w:r>
        <w:rPr>
          <w:rStyle w:val="FootnoteReference"/>
        </w:rPr>
        <w:footnoteRef/>
      </w:r>
      <w:r>
        <w:t xml:space="preserve"> The Systemic Risk Council was formed by the CFA </w:t>
      </w:r>
      <w:proofErr w:type="gramStart"/>
      <w:r>
        <w:t>Institute  and</w:t>
      </w:r>
      <w:proofErr w:type="gramEnd"/>
      <w:r>
        <w:t xml:space="preserve"> the Pew Charitable Trusts  to “monitor and encourageregulatory reform of U.S. capital markets focused on systemic risk.” </w:t>
      </w:r>
      <w:proofErr w:type="gramStart"/>
      <w:r>
        <w:t>It is chaired by Sheila Bair of the Pew Charitable trusts, a former chair of t</w:t>
      </w:r>
      <w:r w:rsidR="0091345D">
        <w:t>h</w:t>
      </w:r>
      <w:r>
        <w:t>e</w:t>
      </w:r>
      <w:r w:rsidR="0091345D">
        <w:t xml:space="preserve"> FDIC</w:t>
      </w:r>
      <w:proofErr w:type="gramEnd"/>
      <w:r w:rsidR="0091345D">
        <w:t>.</w:t>
      </w:r>
    </w:p>
  </w:footnote>
  <w:footnote w:id="59">
    <w:p w:rsidR="00E2525B" w:rsidRDefault="00E2525B">
      <w:pPr>
        <w:pStyle w:val="FootnoteText"/>
      </w:pPr>
      <w:r>
        <w:rPr>
          <w:rStyle w:val="FootnoteReference"/>
        </w:rPr>
        <w:footnoteRef/>
      </w:r>
      <w:r>
        <w:t xml:space="preserve"> Audit Report. </w:t>
      </w:r>
      <w:proofErr w:type="gramStart"/>
      <w:r>
        <w:t>Office of Inspector Generral, Department of the Treasury.</w:t>
      </w:r>
      <w:proofErr w:type="gramEnd"/>
      <w:r>
        <w:t xml:space="preserve"> OIG-12-057, “Dodd-Frank Act: Treasury Has Made Progress to Stand-Up the Office of Financial Research 1-2 (June 27, 2012). </w:t>
      </w:r>
    </w:p>
  </w:footnote>
  <w:footnote w:id="60">
    <w:p w:rsidR="00972457" w:rsidRDefault="00972457">
      <w:pPr>
        <w:pStyle w:val="FootnoteText"/>
      </w:pPr>
      <w:r>
        <w:rPr>
          <w:rStyle w:val="FootnoteReference"/>
        </w:rPr>
        <w:footnoteRef/>
      </w:r>
      <w:r>
        <w:t xml:space="preserve"> </w:t>
      </w:r>
      <w:proofErr w:type="gramStart"/>
      <w:r>
        <w:t>Id. at 11.</w:t>
      </w:r>
      <w:proofErr w:type="gramEnd"/>
    </w:p>
  </w:footnote>
  <w:footnote w:id="61">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i/>
          <w:iCs/>
        </w:rPr>
        <w:t>Dysart,</w:t>
      </w:r>
      <w:r w:rsidRPr="00256D66">
        <w:rPr>
          <w:rFonts w:ascii="Times New Roman" w:hAnsi="Times New Roman" w:cs="Times New Roman"/>
        </w:rPr>
        <w:t xml:space="preserve"> id.</w:t>
      </w:r>
      <w:proofErr w:type="gramEnd"/>
      <w:r w:rsidRPr="00256D66">
        <w:rPr>
          <w:rFonts w:ascii="Times New Roman" w:hAnsi="Times New Roman" w:cs="Times New Roman"/>
        </w:rPr>
        <w:t xml:space="preserve"> </w:t>
      </w:r>
      <w:proofErr w:type="gramStart"/>
      <w:r w:rsidRPr="00256D66">
        <w:rPr>
          <w:rFonts w:ascii="Times New Roman" w:hAnsi="Times New Roman" w:cs="Times New Roman"/>
        </w:rPr>
        <w:t>at</w:t>
      </w:r>
      <w:proofErr w:type="gramEnd"/>
      <w:r w:rsidRPr="00256D66">
        <w:rPr>
          <w:rFonts w:ascii="Times New Roman" w:hAnsi="Times New Roman" w:cs="Times New Roman"/>
        </w:rPr>
        <w:t xml:space="preserve"> 1316.</w:t>
      </w:r>
    </w:p>
  </w:footnote>
  <w:footnote w:id="62">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w:t>
      </w:r>
      <w:proofErr w:type="gramStart"/>
      <w:r w:rsidRPr="00256D66">
        <w:rPr>
          <w:rFonts w:ascii="Times New Roman" w:hAnsi="Times New Roman" w:cs="Times New Roman"/>
          <w:i/>
          <w:iCs/>
        </w:rPr>
        <w:t>United States v. Smith</w:t>
      </w:r>
      <w:r w:rsidRPr="00DF0FC2">
        <w:rPr>
          <w:rFonts w:ascii="Times New Roman" w:hAnsi="Times New Roman" w:cs="Times New Roman"/>
        </w:rPr>
        <w:t>, 286 U.S. 6 (1932).</w:t>
      </w:r>
      <w:proofErr w:type="gramEnd"/>
      <w:r w:rsidRPr="00DF0FC2">
        <w:rPr>
          <w:rFonts w:ascii="Times New Roman" w:hAnsi="Times New Roman" w:cs="Times New Roman"/>
        </w:rPr>
        <w:t xml:space="preserve">   </w:t>
      </w:r>
    </w:p>
  </w:footnote>
  <w:footnote w:id="63">
    <w:p w:rsidR="003A3CFC" w:rsidRDefault="003A3CFC">
      <w:pPr>
        <w:pStyle w:val="FootnoteText"/>
      </w:pPr>
      <w:r>
        <w:rPr>
          <w:rStyle w:val="FootnoteReference"/>
        </w:rPr>
        <w:footnoteRef/>
      </w:r>
      <w:r>
        <w:t xml:space="preserve"> </w:t>
      </w:r>
      <w:proofErr w:type="gramStart"/>
      <w:r>
        <w:t>Id. at 35.</w:t>
      </w:r>
      <w:proofErr w:type="gramEnd"/>
    </w:p>
  </w:footnote>
  <w:footnote w:id="64">
    <w:p w:rsidR="003A3CFC" w:rsidRDefault="003A3CFC">
      <w:pPr>
        <w:pStyle w:val="FootnoteText"/>
      </w:pPr>
      <w:r>
        <w:rPr>
          <w:rStyle w:val="FootnoteReference"/>
        </w:rPr>
        <w:footnoteRef/>
      </w:r>
      <w:r>
        <w:t xml:space="preserve"> </w:t>
      </w:r>
      <w:proofErr w:type="gramStart"/>
      <w:r>
        <w:t>Id. at 36.</w:t>
      </w:r>
      <w:proofErr w:type="gramEnd"/>
    </w:p>
  </w:footnote>
  <w:footnote w:id="65">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256D66">
        <w:rPr>
          <w:rFonts w:ascii="Times New Roman" w:hAnsi="Times New Roman" w:cs="Times New Roman"/>
          <w:i/>
          <w:iCs/>
        </w:rPr>
        <w:t>INS v. Chadha</w:t>
      </w:r>
      <w:r w:rsidRPr="00256D66">
        <w:rPr>
          <w:rFonts w:ascii="Times New Roman" w:hAnsi="Times New Roman" w:cs="Times New Roman"/>
        </w:rPr>
        <w:t xml:space="preserve">, 462 U.S. 919, 955 (1983)(“The Senate alone was given final unreviewable power to approve or disapprove Presidential appointments.”). </w:t>
      </w:r>
    </w:p>
  </w:footnote>
  <w:footnote w:id="66">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Art. </w:t>
      </w:r>
      <w:proofErr w:type="gramStart"/>
      <w:r w:rsidRPr="00256D66">
        <w:rPr>
          <w:rFonts w:ascii="Times New Roman" w:hAnsi="Times New Roman" w:cs="Times New Roman"/>
        </w:rPr>
        <w:t>I, sec.5, cl.2.</w:t>
      </w:r>
      <w:proofErr w:type="gramEnd"/>
    </w:p>
  </w:footnote>
  <w:footnote w:id="67">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OLC Opinion at p. 4.</w:t>
      </w:r>
    </w:p>
  </w:footnote>
  <w:footnote w:id="68">
    <w:p w:rsidR="003A3CFC" w:rsidRDefault="003A3CFC">
      <w:pPr>
        <w:pStyle w:val="FootnoteText"/>
      </w:pPr>
      <w:r w:rsidRPr="009652F1">
        <w:rPr>
          <w:rStyle w:val="FootnoteReference"/>
          <w:rFonts w:ascii="Times New Roman" w:hAnsi="Times New Roman" w:cs="Times New Roman"/>
        </w:rPr>
        <w:footnoteRef/>
      </w:r>
      <w:r w:rsidRPr="009652F1">
        <w:rPr>
          <w:rFonts w:ascii="Times New Roman" w:hAnsi="Times New Roman" w:cs="Times New Roman"/>
        </w:rPr>
        <w:t xml:space="preserve"> 520 U.S. 651,659-60 (1997)</w:t>
      </w:r>
    </w:p>
  </w:footnote>
  <w:footnote w:id="69">
    <w:p w:rsidR="003A3CFC" w:rsidRDefault="003A3CFC" w:rsidP="009652F1">
      <w:pPr>
        <w:spacing w:after="0"/>
        <w:contextualSpacing/>
      </w:pPr>
      <w:r w:rsidRPr="009652F1">
        <w:rPr>
          <w:rStyle w:val="FootnoteReference"/>
          <w:rFonts w:ascii="Times New Roman" w:hAnsi="Times New Roman" w:cs="Times New Roman"/>
          <w:sz w:val="20"/>
          <w:szCs w:val="20"/>
        </w:rPr>
        <w:footnoteRef/>
      </w:r>
      <w:r w:rsidRPr="009652F1">
        <w:rPr>
          <w:rFonts w:ascii="Times New Roman" w:hAnsi="Times New Roman" w:cs="Times New Roman"/>
          <w:sz w:val="20"/>
          <w:szCs w:val="20"/>
        </w:rPr>
        <w:t xml:space="preserve"> </w:t>
      </w:r>
      <w:proofErr w:type="gramStart"/>
      <w:r w:rsidRPr="009652F1">
        <w:rPr>
          <w:rFonts w:ascii="Times New Roman" w:hAnsi="Times New Roman" w:cs="Times New Roman"/>
          <w:sz w:val="20"/>
          <w:szCs w:val="20"/>
        </w:rPr>
        <w:t>520 U.S. at 660, quoting Hamilton in Federalist No.77.</w:t>
      </w:r>
      <w:proofErr w:type="gramEnd"/>
      <w:r>
        <w:rPr>
          <w:rFonts w:ascii="Times New Roman" w:hAnsi="Times New Roman" w:cs="Times New Roman"/>
          <w:sz w:val="20"/>
          <w:szCs w:val="20"/>
        </w:rPr>
        <w:t xml:space="preserve"> The </w:t>
      </w:r>
      <w:proofErr w:type="gramStart"/>
      <w:r>
        <w:rPr>
          <w:rFonts w:ascii="Times New Roman" w:hAnsi="Times New Roman" w:cs="Times New Roman"/>
          <w:sz w:val="20"/>
          <w:szCs w:val="20"/>
        </w:rPr>
        <w:t>sentences  preceding</w:t>
      </w:r>
      <w:proofErr w:type="gramEnd"/>
      <w:r>
        <w:rPr>
          <w:rFonts w:ascii="Times New Roman" w:hAnsi="Times New Roman" w:cs="Times New Roman"/>
          <w:sz w:val="20"/>
          <w:szCs w:val="20"/>
        </w:rPr>
        <w:t xml:space="preserve"> the quoted material make it clear that  the nomination and confirmation process was to be a joint endeavor of separately empowered political entities that would be transparent and visible, allowing the public to assign blame for a failure of the process: “In that  [appointments] plan [of the proposed Constitution] the power of nomination is unequivocally  vested in the executive. </w:t>
      </w:r>
      <w:proofErr w:type="gramStart"/>
      <w:r>
        <w:rPr>
          <w:rFonts w:ascii="Times New Roman" w:hAnsi="Times New Roman" w:cs="Times New Roman"/>
          <w:sz w:val="20"/>
          <w:szCs w:val="20"/>
        </w:rPr>
        <w:t>And  as</w:t>
      </w:r>
      <w:proofErr w:type="gramEnd"/>
      <w:r>
        <w:rPr>
          <w:rFonts w:ascii="Times New Roman" w:hAnsi="Times New Roman" w:cs="Times New Roman"/>
          <w:sz w:val="20"/>
          <w:szCs w:val="20"/>
        </w:rPr>
        <w:t xml:space="preserve"> there would be a necessity for submitting each nomination to the judgment  of an entire branch of the legislature, the circumstances attending an appointment , from the mode of conducting it, would naturally become matters of notoriety, and the public would be a no loss to determine what part had performed  by the different actors.”   </w:t>
      </w:r>
    </w:p>
  </w:footnote>
  <w:footnote w:id="70">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Pr>
          <w:rFonts w:ascii="Times New Roman" w:hAnsi="Times New Roman" w:cs="Times New Roman"/>
        </w:rPr>
        <w:t>Th</w:t>
      </w:r>
      <w:r w:rsidRPr="00256D66">
        <w:rPr>
          <w:rFonts w:ascii="Times New Roman" w:hAnsi="Times New Roman" w:cs="Times New Roman"/>
        </w:rPr>
        <w:t xml:space="preserve">e Supreme Court in </w:t>
      </w:r>
      <w:r w:rsidRPr="00256D66">
        <w:rPr>
          <w:rFonts w:ascii="Times New Roman" w:hAnsi="Times New Roman" w:cs="Times New Roman"/>
          <w:i/>
          <w:iCs/>
        </w:rPr>
        <w:t>Myers v. United States</w:t>
      </w:r>
      <w:r w:rsidRPr="00256D66">
        <w:rPr>
          <w:rFonts w:ascii="Times New Roman" w:hAnsi="Times New Roman" w:cs="Times New Roman"/>
        </w:rPr>
        <w:t xml:space="preserve">, 272 U.S. 252, 128-29 (1926) recognized the Congress might impose specific qualifications for nominees for particular offices, but such qualifications cannot have the effect of selecting a specific individual for nomination. </w:t>
      </w:r>
    </w:p>
  </w:footnote>
  <w:footnote w:id="71">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Presidents in the past have withheld nominations </w:t>
      </w:r>
      <w:r>
        <w:rPr>
          <w:rFonts w:ascii="Times New Roman" w:hAnsi="Times New Roman" w:cs="Times New Roman"/>
        </w:rPr>
        <w:t xml:space="preserve">in order </w:t>
      </w:r>
      <w:r w:rsidRPr="00256D66">
        <w:rPr>
          <w:rFonts w:ascii="Times New Roman" w:hAnsi="Times New Roman" w:cs="Times New Roman"/>
        </w:rPr>
        <w:t>to cause detrimental consequences for targeted programs or policies. Extended vacancies may contribute to agency inaction</w:t>
      </w:r>
      <w:r>
        <w:rPr>
          <w:rFonts w:ascii="Times New Roman" w:hAnsi="Times New Roman" w:cs="Times New Roman"/>
        </w:rPr>
        <w:t>,</w:t>
      </w:r>
      <w:r w:rsidRPr="00256D66">
        <w:rPr>
          <w:rFonts w:ascii="Times New Roman" w:hAnsi="Times New Roman" w:cs="Times New Roman"/>
        </w:rPr>
        <w:t xml:space="preserve"> foster confusion among nonpolitical employees, and undermine agency legitimacy. See Ann Joseph O’Connell, “Vacant Offices: Delays in Staffing Top Agency Positions,” 82 So. Ca</w:t>
      </w:r>
      <w:r>
        <w:rPr>
          <w:rFonts w:ascii="Times New Roman" w:hAnsi="Times New Roman" w:cs="Times New Roman"/>
        </w:rPr>
        <w:t>l</w:t>
      </w:r>
      <w:r w:rsidRPr="00256D66">
        <w:rPr>
          <w:rFonts w:ascii="Times New Roman" w:hAnsi="Times New Roman" w:cs="Times New Roman"/>
        </w:rPr>
        <w:t>. L. Rev. 913 (2009).</w:t>
      </w:r>
    </w:p>
  </w:footnote>
  <w:footnote w:id="72">
    <w:p w:rsidR="003A3CFC" w:rsidRDefault="003A3CFC" w:rsidP="009652F1">
      <w:pPr>
        <w:pStyle w:val="FootnoteText"/>
      </w:pPr>
      <w:r w:rsidRPr="009652F1">
        <w:rPr>
          <w:rStyle w:val="FootnoteReference"/>
          <w:rFonts w:ascii="Times New Roman" w:hAnsi="Times New Roman" w:cs="Times New Roman"/>
        </w:rPr>
        <w:footnoteRef/>
      </w:r>
      <w:r w:rsidRPr="009652F1">
        <w:rPr>
          <w:rFonts w:ascii="Times New Roman" w:hAnsi="Times New Roman" w:cs="Times New Roman"/>
        </w:rPr>
        <w:t xml:space="preserve"> Article I, sec. 5, </w:t>
      </w:r>
      <w:proofErr w:type="gramStart"/>
      <w:r w:rsidRPr="009652F1">
        <w:rPr>
          <w:rFonts w:ascii="Times New Roman" w:hAnsi="Times New Roman" w:cs="Times New Roman"/>
        </w:rPr>
        <w:t>cl</w:t>
      </w:r>
      <w:proofErr w:type="gramEnd"/>
      <w:r w:rsidRPr="009652F1">
        <w:rPr>
          <w:rFonts w:ascii="Times New Roman" w:hAnsi="Times New Roman" w:cs="Times New Roman"/>
        </w:rPr>
        <w:t>.</w:t>
      </w:r>
      <w:r>
        <w:rPr>
          <w:rFonts w:ascii="Times New Roman" w:hAnsi="Times New Roman" w:cs="Times New Roman"/>
        </w:rPr>
        <w:t xml:space="preserve"> </w:t>
      </w:r>
      <w:r w:rsidRPr="009652F1">
        <w:rPr>
          <w:rFonts w:ascii="Times New Roman" w:hAnsi="Times New Roman" w:cs="Times New Roman"/>
        </w:rPr>
        <w:t>2</w:t>
      </w:r>
      <w:r>
        <w:rPr>
          <w:rFonts w:ascii="Times New Roman" w:hAnsi="Times New Roman" w:cs="Times New Roman"/>
        </w:rPr>
        <w:t>.</w:t>
      </w:r>
    </w:p>
  </w:footnote>
  <w:footnote w:id="73">
    <w:p w:rsidR="003A3CFC" w:rsidRDefault="003A3CFC">
      <w:pPr>
        <w:pStyle w:val="FootnoteText"/>
      </w:pPr>
      <w:r w:rsidRPr="009652F1">
        <w:rPr>
          <w:rStyle w:val="FootnoteReference"/>
          <w:rFonts w:ascii="Times New Roman" w:hAnsi="Times New Roman" w:cs="Times New Roman"/>
        </w:rPr>
        <w:footnoteRef/>
      </w:r>
      <w:r w:rsidRPr="009652F1">
        <w:rPr>
          <w:rFonts w:ascii="Times New Roman" w:hAnsi="Times New Roman" w:cs="Times New Roman"/>
        </w:rPr>
        <w:t xml:space="preserve"> </w:t>
      </w:r>
      <w:r w:rsidRPr="00256D66">
        <w:rPr>
          <w:rFonts w:ascii="Times New Roman" w:hAnsi="Times New Roman" w:cs="Times New Roman"/>
          <w:i/>
          <w:iCs/>
        </w:rPr>
        <w:t>U.S. v. Ballin</w:t>
      </w:r>
      <w:r>
        <w:rPr>
          <w:rFonts w:ascii="Times New Roman" w:hAnsi="Times New Roman" w:cs="Times New Roman"/>
        </w:rPr>
        <w:t xml:space="preserve">, </w:t>
      </w:r>
      <w:proofErr w:type="gramStart"/>
      <w:r>
        <w:rPr>
          <w:rFonts w:ascii="Times New Roman" w:hAnsi="Times New Roman" w:cs="Times New Roman"/>
        </w:rPr>
        <w:t>144  U.S</w:t>
      </w:r>
      <w:proofErr w:type="gramEnd"/>
      <w:r>
        <w:rPr>
          <w:rFonts w:ascii="Times New Roman" w:hAnsi="Times New Roman" w:cs="Times New Roman"/>
        </w:rPr>
        <w:t>. 1,5 (1892).  See also</w:t>
      </w:r>
      <w:r w:rsidR="00264269">
        <w:rPr>
          <w:rFonts w:ascii="Times New Roman" w:hAnsi="Times New Roman" w:cs="Times New Roman"/>
        </w:rPr>
        <w:t xml:space="preserve"> </w:t>
      </w:r>
      <w:r w:rsidR="00264269">
        <w:rPr>
          <w:rFonts w:ascii="Times New Roman" w:hAnsi="Times New Roman" w:cs="Times New Roman"/>
          <w:i/>
        </w:rPr>
        <w:t>infra</w:t>
      </w:r>
      <w:r>
        <w:rPr>
          <w:rFonts w:ascii="Times New Roman" w:hAnsi="Times New Roman" w:cs="Times New Roman"/>
        </w:rPr>
        <w:t xml:space="preserve"> note</w:t>
      </w:r>
      <w:r w:rsidR="00FF4816">
        <w:rPr>
          <w:rFonts w:ascii="Times New Roman" w:hAnsi="Times New Roman" w:cs="Times New Roman"/>
        </w:rPr>
        <w:t>s</w:t>
      </w:r>
      <w:r>
        <w:rPr>
          <w:rFonts w:ascii="Times New Roman" w:hAnsi="Times New Roman" w:cs="Times New Roman"/>
        </w:rPr>
        <w:t xml:space="preserve"> </w:t>
      </w:r>
      <w:r w:rsidR="00264269">
        <w:rPr>
          <w:rFonts w:ascii="Times New Roman" w:hAnsi="Times New Roman" w:cs="Times New Roman"/>
        </w:rPr>
        <w:t>83-85 and accompanying text</w:t>
      </w:r>
      <w:r>
        <w:rPr>
          <w:rFonts w:ascii="Times New Roman" w:hAnsi="Times New Roman" w:cs="Times New Roman"/>
        </w:rPr>
        <w:t xml:space="preserve">, noting that the Senate rules permit legislative action even during a pro forma session. </w:t>
      </w:r>
    </w:p>
  </w:footnote>
  <w:footnote w:id="74">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506 U.S. 224 (1993).</w:t>
      </w:r>
      <w:proofErr w:type="gramEnd"/>
    </w:p>
  </w:footnote>
  <w:footnote w:id="75">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506 U.S. at 228-29.</w:t>
      </w:r>
      <w:proofErr w:type="gramEnd"/>
    </w:p>
  </w:footnote>
  <w:footnote w:id="76">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Id. at 237-38.</w:t>
      </w:r>
      <w:proofErr w:type="gramEnd"/>
      <w:r w:rsidRPr="00256D66">
        <w:rPr>
          <w:rFonts w:ascii="Times New Roman" w:hAnsi="Times New Roman" w:cs="Times New Roman"/>
        </w:rPr>
        <w:t xml:space="preserve"> The lower federal appellate courts have been similarly deferential. See, e.g., </w:t>
      </w:r>
      <w:r w:rsidRPr="00256D66">
        <w:rPr>
          <w:rFonts w:ascii="Times New Roman" w:hAnsi="Times New Roman" w:cs="Times New Roman"/>
          <w:i/>
          <w:iCs/>
        </w:rPr>
        <w:t>United States v. Rostenkowski</w:t>
      </w:r>
      <w:proofErr w:type="gramStart"/>
      <w:r w:rsidRPr="00256D66">
        <w:rPr>
          <w:rFonts w:ascii="Times New Roman" w:hAnsi="Times New Roman" w:cs="Times New Roman"/>
        </w:rPr>
        <w:t>,  59</w:t>
      </w:r>
      <w:proofErr w:type="gramEnd"/>
      <w:r w:rsidRPr="00256D66">
        <w:rPr>
          <w:rFonts w:ascii="Times New Roman" w:hAnsi="Times New Roman" w:cs="Times New Roman"/>
        </w:rPr>
        <w:t xml:space="preserve">  F. 3d 1291, 1306-07 (D.C. Cir. 1995) explaining that “[w]here…a court cannot be confident that its interpretation [of a House rule] is correct, there is too great a chance that it will interpret the Rule differently than would the Congress itself; in th</w:t>
      </w:r>
      <w:r>
        <w:rPr>
          <w:rFonts w:ascii="Times New Roman" w:hAnsi="Times New Roman" w:cs="Times New Roman"/>
        </w:rPr>
        <w:t>is</w:t>
      </w:r>
      <w:r w:rsidRPr="00256D66">
        <w:rPr>
          <w:rFonts w:ascii="Times New Roman" w:hAnsi="Times New Roman" w:cs="Times New Roman"/>
        </w:rPr>
        <w:t xml:space="preserve"> circumstance, the court would effectively be making the rules—a power the Rulemaking  Clause reserves to each House alone….Though that Clause may be most directly concerned with the question, it does not supplant the doctrine of separation of powers nor authorize the a court to set naught the allocation of authority in the Rulemaking Clause.” See also</w:t>
      </w:r>
      <w:proofErr w:type="gramStart"/>
      <w:r w:rsidRPr="00256D66">
        <w:rPr>
          <w:rFonts w:ascii="Times New Roman" w:hAnsi="Times New Roman" w:cs="Times New Roman"/>
        </w:rPr>
        <w:t xml:space="preserve">,  </w:t>
      </w:r>
      <w:r w:rsidRPr="00256D66">
        <w:rPr>
          <w:rFonts w:ascii="Times New Roman" w:hAnsi="Times New Roman" w:cs="Times New Roman"/>
          <w:i/>
          <w:iCs/>
        </w:rPr>
        <w:t>Skaggs</w:t>
      </w:r>
      <w:proofErr w:type="gramEnd"/>
      <w:r w:rsidRPr="00256D66">
        <w:rPr>
          <w:rFonts w:ascii="Times New Roman" w:hAnsi="Times New Roman" w:cs="Times New Roman"/>
          <w:i/>
          <w:iCs/>
        </w:rPr>
        <w:t xml:space="preserve"> v. Carle</w:t>
      </w:r>
      <w:r w:rsidRPr="00256D66">
        <w:rPr>
          <w:rFonts w:ascii="Times New Roman" w:hAnsi="Times New Roman" w:cs="Times New Roman"/>
        </w:rPr>
        <w:t xml:space="preserve">, 110 F. 3d 831, 836 (D.C. Cir. 1997)(denying member standing to challenge a rule, citing </w:t>
      </w:r>
      <w:r w:rsidRPr="00256D66">
        <w:rPr>
          <w:rFonts w:ascii="Times New Roman" w:hAnsi="Times New Roman" w:cs="Times New Roman"/>
          <w:i/>
          <w:iCs/>
        </w:rPr>
        <w:t>Rostenkows</w:t>
      </w:r>
      <w:r>
        <w:rPr>
          <w:rFonts w:ascii="Times New Roman" w:hAnsi="Times New Roman" w:cs="Times New Roman"/>
          <w:i/>
          <w:iCs/>
        </w:rPr>
        <w:t>ki</w:t>
      </w:r>
      <w:r w:rsidRPr="00256D66">
        <w:rPr>
          <w:rFonts w:ascii="Times New Roman" w:hAnsi="Times New Roman" w:cs="Times New Roman"/>
        </w:rPr>
        <w:t>).</w:t>
      </w:r>
    </w:p>
  </w:footnote>
  <w:footnote w:id="77">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462 U.S. 919 (1983).</w:t>
      </w:r>
      <w:proofErr w:type="gramEnd"/>
    </w:p>
  </w:footnote>
  <w:footnote w:id="78">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462 U.S. </w:t>
      </w:r>
      <w:proofErr w:type="gramStart"/>
      <w:r w:rsidRPr="00256D66">
        <w:rPr>
          <w:rFonts w:ascii="Times New Roman" w:hAnsi="Times New Roman" w:cs="Times New Roman"/>
        </w:rPr>
        <w:t>at  956</w:t>
      </w:r>
      <w:proofErr w:type="gramEnd"/>
      <w:r w:rsidRPr="00256D66">
        <w:rPr>
          <w:rFonts w:ascii="Times New Roman" w:hAnsi="Times New Roman" w:cs="Times New Roman"/>
        </w:rPr>
        <w:t xml:space="preserve"> n.21. The Court also identified several provisions of the Constitution specifically allowing legislative actions that do not have to comply with the Presentation Clause, including </w:t>
      </w:r>
      <w:r>
        <w:rPr>
          <w:rFonts w:ascii="Times New Roman" w:hAnsi="Times New Roman" w:cs="Times New Roman"/>
        </w:rPr>
        <w:t>the</w:t>
      </w:r>
      <w:r w:rsidRPr="00256D66">
        <w:rPr>
          <w:rFonts w:ascii="Times New Roman" w:hAnsi="Times New Roman" w:cs="Times New Roman"/>
        </w:rPr>
        <w:t xml:space="preserve"> Senate’s sole and unreviewable powers to conduct impeachment trials, ratify treaties, and confirm nominations. </w:t>
      </w:r>
      <w:proofErr w:type="gramStart"/>
      <w:r w:rsidRPr="00256D66">
        <w:rPr>
          <w:rFonts w:ascii="Times New Roman" w:hAnsi="Times New Roman" w:cs="Times New Roman"/>
        </w:rPr>
        <w:t>Id., at 955.</w:t>
      </w:r>
      <w:proofErr w:type="gramEnd"/>
      <w:r w:rsidRPr="00256D66">
        <w:rPr>
          <w:rFonts w:ascii="Times New Roman" w:hAnsi="Times New Roman" w:cs="Times New Roman"/>
        </w:rPr>
        <w:t xml:space="preserve"> </w:t>
      </w:r>
    </w:p>
  </w:footnote>
  <w:footnote w:id="79">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462 U.S. at 955.</w:t>
      </w:r>
      <w:proofErr w:type="gramEnd"/>
    </w:p>
  </w:footnote>
  <w:footnote w:id="80">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For an articulation of the constitutional and historical bases of the filibuster see the testimony of Professor Michael Gerhardt in Hearing, “Judicial Nominations and Filibusters, and the Constitution: When a Majority is Denied Its Right to Consent,” before the Subcomm. </w:t>
      </w:r>
      <w:proofErr w:type="gramStart"/>
      <w:r w:rsidRPr="00256D66">
        <w:rPr>
          <w:rFonts w:ascii="Times New Roman" w:hAnsi="Times New Roman" w:cs="Times New Roman"/>
        </w:rPr>
        <w:t>on</w:t>
      </w:r>
      <w:proofErr w:type="gramEnd"/>
      <w:r w:rsidRPr="00256D66">
        <w:rPr>
          <w:rFonts w:ascii="Times New Roman" w:hAnsi="Times New Roman" w:cs="Times New Roman"/>
        </w:rPr>
        <w:t xml:space="preserve"> the Constitution of the Senate Judiciary Committee, 108</w:t>
      </w:r>
      <w:r w:rsidRPr="00256D66">
        <w:rPr>
          <w:rFonts w:ascii="Times New Roman" w:hAnsi="Times New Roman" w:cs="Times New Roman"/>
          <w:vertAlign w:val="superscript"/>
        </w:rPr>
        <w:t>th</w:t>
      </w:r>
      <w:r w:rsidRPr="00256D66">
        <w:rPr>
          <w:rFonts w:ascii="Times New Roman" w:hAnsi="Times New Roman" w:cs="Times New Roman"/>
        </w:rPr>
        <w:t xml:space="preserve"> Cong., 1</w:t>
      </w:r>
      <w:r w:rsidRPr="00256D66">
        <w:rPr>
          <w:rFonts w:ascii="Times New Roman" w:hAnsi="Times New Roman" w:cs="Times New Roman"/>
          <w:vertAlign w:val="superscript"/>
        </w:rPr>
        <w:t>st</w:t>
      </w:r>
      <w:r w:rsidRPr="00256D66">
        <w:rPr>
          <w:rFonts w:ascii="Times New Roman" w:hAnsi="Times New Roman" w:cs="Times New Roman"/>
        </w:rPr>
        <w:t xml:space="preserve"> Sess. (2003).</w:t>
      </w:r>
    </w:p>
  </w:footnote>
  <w:footnote w:id="81">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Senate Standing Rule XXVI (1).</w:t>
      </w:r>
    </w:p>
  </w:footnote>
  <w:footnote w:id="82">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See, Michael A. Carrier,” When Is the Senate in Recess for Purposes of the Recess Appointments Clause</w:t>
      </w:r>
      <w:proofErr w:type="gramStart"/>
      <w:r w:rsidRPr="00256D66">
        <w:rPr>
          <w:rFonts w:ascii="Times New Roman" w:hAnsi="Times New Roman" w:cs="Times New Roman"/>
        </w:rPr>
        <w:t>?,</w:t>
      </w:r>
      <w:proofErr w:type="gramEnd"/>
      <w:r w:rsidRPr="00256D66">
        <w:rPr>
          <w:rFonts w:ascii="Times New Roman" w:hAnsi="Times New Roman" w:cs="Times New Roman"/>
        </w:rPr>
        <w:t xml:space="preserve">” 92 Mich. L. Rev. 2204, 2242-43 (1994)(Carrier). </w:t>
      </w:r>
    </w:p>
  </w:footnote>
  <w:footnote w:id="83">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See 157 Cong. Rec</w:t>
      </w:r>
      <w:r>
        <w:rPr>
          <w:rFonts w:ascii="Times New Roman" w:hAnsi="Times New Roman" w:cs="Times New Roman"/>
        </w:rPr>
        <w:t>.</w:t>
      </w:r>
      <w:r w:rsidRPr="00256D66">
        <w:rPr>
          <w:rFonts w:ascii="Times New Roman" w:hAnsi="Times New Roman" w:cs="Times New Roman"/>
        </w:rPr>
        <w:t xml:space="preserve"> S 8729 (daily ed. Dec. 23, 2011)(Temporary Payroll Tax Cut Continuation Act of 2011)</w:t>
      </w:r>
      <w:r>
        <w:rPr>
          <w:rFonts w:ascii="Times New Roman" w:hAnsi="Times New Roman" w:cs="Times New Roman"/>
        </w:rPr>
        <w:t>;</w:t>
      </w:r>
      <w:r w:rsidRPr="00256D66">
        <w:rPr>
          <w:rFonts w:ascii="Times New Roman" w:hAnsi="Times New Roman" w:cs="Times New Roman"/>
        </w:rPr>
        <w:t xml:space="preserve"> and 157 Cong. Rec. 5297 (daily ed. Aug. 5, 2011)</w:t>
      </w:r>
      <w:proofErr w:type="gramStart"/>
      <w:r w:rsidRPr="00256D66">
        <w:rPr>
          <w:rFonts w:ascii="Times New Roman" w:hAnsi="Times New Roman" w:cs="Times New Roman"/>
        </w:rPr>
        <w:t>( Airport</w:t>
      </w:r>
      <w:proofErr w:type="gramEnd"/>
      <w:r w:rsidRPr="00256D66">
        <w:rPr>
          <w:rFonts w:ascii="Times New Roman" w:hAnsi="Times New Roman" w:cs="Times New Roman"/>
        </w:rPr>
        <w:t xml:space="preserve"> and Airways Extension Act of 2011).</w:t>
      </w:r>
    </w:p>
  </w:footnote>
  <w:footnote w:id="84">
    <w:p w:rsidR="003A3CFC" w:rsidRDefault="003A3CFC">
      <w:pPr>
        <w:pStyle w:val="FootnoteText"/>
      </w:pPr>
      <w:r>
        <w:rPr>
          <w:rStyle w:val="FootnoteReference"/>
        </w:rPr>
        <w:footnoteRef/>
      </w:r>
      <w:r>
        <w:t xml:space="preserve"> Memorandum, “Certain Questions Related to Pro Forma Sessions of the Senate,” to the Senate Minority Leader from Christopher M. Davis, Analyst on Congress and the legislative Process (March 8, 2012), reprinted at 158 Cong. Rec. S5954-56 (daily ed.</w:t>
      </w:r>
      <w:proofErr w:type="gramStart"/>
      <w:r>
        <w:t>,  August</w:t>
      </w:r>
      <w:proofErr w:type="gramEnd"/>
      <w:r>
        <w:t xml:space="preserve"> 2, 2012)(CRS Study).</w:t>
      </w:r>
    </w:p>
  </w:footnote>
  <w:footnote w:id="85">
    <w:p w:rsidR="003A3CFC" w:rsidRDefault="003A3CFC">
      <w:pPr>
        <w:pStyle w:val="FootnoteText"/>
      </w:pPr>
      <w:r>
        <w:rPr>
          <w:rStyle w:val="FootnoteReference"/>
        </w:rPr>
        <w:footnoteRef/>
      </w:r>
      <w:r>
        <w:t xml:space="preserve"> </w:t>
      </w:r>
      <w:proofErr w:type="gramStart"/>
      <w:r>
        <w:t>Id. at 5954 (emphasis supplied).</w:t>
      </w:r>
      <w:proofErr w:type="gramEnd"/>
    </w:p>
  </w:footnote>
  <w:footnote w:id="86">
    <w:p w:rsidR="003A3CFC" w:rsidRDefault="003A3CFC">
      <w:pPr>
        <w:pStyle w:val="FootnoteText"/>
      </w:pPr>
      <w:r>
        <w:rPr>
          <w:rStyle w:val="FootnoteReference"/>
        </w:rPr>
        <w:footnoteRef/>
      </w:r>
      <w:r>
        <w:t xml:space="preserve"> For a thorough and exhaustive</w:t>
      </w:r>
      <w:r w:rsidR="008714F9">
        <w:t xml:space="preserve"> </w:t>
      </w:r>
      <w:proofErr w:type="gramStart"/>
      <w:r>
        <w:t>discussion  and</w:t>
      </w:r>
      <w:proofErr w:type="gramEnd"/>
      <w:r>
        <w:t xml:space="preserve"> analysis  of the law, history and academic commentary on the Recess Clause see the series of posts at </w:t>
      </w:r>
      <w:hyperlink r:id="rId1" w:history="1">
        <w:r w:rsidRPr="00051B7B">
          <w:rPr>
            <w:rStyle w:val="Hyperlink"/>
          </w:rPr>
          <w:t>www.pointoforder/recessappointments</w:t>
        </w:r>
      </w:hyperlink>
      <w:r>
        <w:t xml:space="preserve"> authored by Michael Stern. </w:t>
      </w:r>
    </w:p>
  </w:footnote>
  <w:footnote w:id="87">
    <w:p w:rsidR="003A3CFC" w:rsidRDefault="003A3CFC">
      <w:pPr>
        <w:pStyle w:val="FootnoteText"/>
      </w:pPr>
      <w:r>
        <w:rPr>
          <w:rStyle w:val="FootnoteReference"/>
        </w:rPr>
        <w:footnoteRef/>
      </w:r>
      <w:r>
        <w:t xml:space="preserve"> Article II, sec. 2, cl. 3 states that “[</w:t>
      </w:r>
      <w:proofErr w:type="gramStart"/>
      <w:r>
        <w:t>t]he</w:t>
      </w:r>
      <w:proofErr w:type="gramEnd"/>
      <w:r>
        <w:t xml:space="preserve"> President shall have the Power to fill up all vacancies that mayhappen during the recess of the Senate, by granting Commissions which shall expire at the End of their next Session.”</w:t>
      </w:r>
    </w:p>
  </w:footnote>
  <w:footnote w:id="88">
    <w:p w:rsidR="003A3CFC" w:rsidRDefault="003A3CFC">
      <w:pPr>
        <w:pStyle w:val="FootnoteText"/>
      </w:pPr>
      <w:r>
        <w:rPr>
          <w:rStyle w:val="FootnoteReference"/>
        </w:rPr>
        <w:footnoteRef/>
      </w:r>
      <w:r>
        <w:t xml:space="preserve"> See Stern, </w:t>
      </w:r>
      <w:r>
        <w:rPr>
          <w:i/>
        </w:rPr>
        <w:t xml:space="preserve">supra </w:t>
      </w:r>
      <w:r>
        <w:t xml:space="preserve">note </w:t>
      </w:r>
      <w:r w:rsidR="008714F9">
        <w:t>86</w:t>
      </w:r>
      <w:r>
        <w:t xml:space="preserve">, posts of February 29, 2012 (“The Purposes of the Recess Appointments Clause”); March 5, 2012 (“What’s Happening? Re-running the Wirt-Rappaport Debate on the Recess Appointments Clause”); March 21, 2012 (“A Recess By Any Other Name”); March 27, 2012 (“Attorney General Knox and the Multi-Session Recess Appointment”); and May 3, 2012 (“Burying the Multi-Session Recess Appointment Theory”).  </w:t>
      </w:r>
      <w:r>
        <w:rPr>
          <w:i/>
        </w:rPr>
        <w:t xml:space="preserve"> </w:t>
      </w:r>
      <w:r>
        <w:t xml:space="preserve"> </w:t>
      </w:r>
    </w:p>
  </w:footnote>
  <w:footnote w:id="89">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Hamilton, The Federalist No. 67, at 409-10.</w:t>
      </w:r>
      <w:proofErr w:type="gramEnd"/>
    </w:p>
  </w:footnote>
  <w:footnote w:id="90">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Art, I, sec. 5, cl. 4 (“Neither House, during the session of Congress, shall, without the Consent of the other, adjourn for more than three days.”)</w:t>
      </w:r>
      <w:r>
        <w:rPr>
          <w:rFonts w:ascii="Times New Roman" w:hAnsi="Times New Roman" w:cs="Times New Roman"/>
        </w:rPr>
        <w:t>.</w:t>
      </w:r>
      <w:proofErr w:type="gramEnd"/>
    </w:p>
  </w:footnote>
  <w:footnote w:id="91">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23</w:t>
      </w:r>
      <w:r>
        <w:rPr>
          <w:rFonts w:ascii="Times New Roman" w:hAnsi="Times New Roman" w:cs="Times New Roman"/>
        </w:rPr>
        <w:t xml:space="preserve"> </w:t>
      </w:r>
      <w:r w:rsidRPr="00256D66">
        <w:rPr>
          <w:rFonts w:ascii="Times New Roman" w:hAnsi="Times New Roman" w:cs="Times New Roman"/>
        </w:rPr>
        <w:t xml:space="preserve"> Op</w:t>
      </w:r>
      <w:proofErr w:type="gramEnd"/>
      <w:r w:rsidRPr="00256D66">
        <w:rPr>
          <w:rFonts w:ascii="Times New Roman" w:hAnsi="Times New Roman" w:cs="Times New Roman"/>
        </w:rPr>
        <w:t xml:space="preserve">. </w:t>
      </w:r>
      <w:r>
        <w:rPr>
          <w:rFonts w:ascii="Times New Roman" w:hAnsi="Times New Roman" w:cs="Times New Roman"/>
        </w:rPr>
        <w:t xml:space="preserve"> </w:t>
      </w:r>
      <w:r w:rsidRPr="00256D66">
        <w:rPr>
          <w:rFonts w:ascii="Times New Roman" w:hAnsi="Times New Roman" w:cs="Times New Roman"/>
        </w:rPr>
        <w:t>Atty</w:t>
      </w:r>
      <w:proofErr w:type="gramStart"/>
      <w:r w:rsidRPr="00256D66">
        <w:rPr>
          <w:rFonts w:ascii="Times New Roman" w:hAnsi="Times New Roman" w:cs="Times New Roman"/>
        </w:rPr>
        <w:t>.  Gen</w:t>
      </w:r>
      <w:proofErr w:type="gramEnd"/>
      <w:r w:rsidRPr="00256D66">
        <w:rPr>
          <w:rFonts w:ascii="Times New Roman" w:hAnsi="Times New Roman" w:cs="Times New Roman"/>
        </w:rPr>
        <w:t>. 599 (1901)</w:t>
      </w:r>
      <w:r>
        <w:rPr>
          <w:rFonts w:ascii="Times New Roman" w:hAnsi="Times New Roman" w:cs="Times New Roman"/>
        </w:rPr>
        <w:t>.</w:t>
      </w:r>
    </w:p>
  </w:footnote>
  <w:footnote w:id="92">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33 Op. Atty. Gen. 20 (1921)</w:t>
      </w:r>
      <w:r>
        <w:rPr>
          <w:rFonts w:ascii="Times New Roman" w:hAnsi="Times New Roman" w:cs="Times New Roman"/>
        </w:rPr>
        <w:t>.</w:t>
      </w:r>
      <w:proofErr w:type="gramEnd"/>
    </w:p>
  </w:footnote>
  <w:footnote w:id="93">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23 Op. Atty. Gen. at 603.</w:t>
      </w:r>
      <w:proofErr w:type="gramEnd"/>
    </w:p>
  </w:footnote>
  <w:footnote w:id="94">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4A377B">
        <w:rPr>
          <w:rFonts w:ascii="Times New Roman" w:hAnsi="Times New Roman" w:cs="Times New Roman"/>
        </w:rPr>
        <w:t>Id</w:t>
      </w:r>
      <w:r w:rsidRPr="00256D66">
        <w:rPr>
          <w:rFonts w:ascii="Times New Roman" w:hAnsi="Times New Roman" w:cs="Times New Roman"/>
        </w:rPr>
        <w:t>.</w:t>
      </w:r>
    </w:p>
  </w:footnote>
  <w:footnote w:id="95">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Sen. Rep. No. 4389, 58</w:t>
      </w:r>
      <w:r w:rsidRPr="00256D66">
        <w:rPr>
          <w:rFonts w:ascii="Times New Roman" w:hAnsi="Times New Roman" w:cs="Times New Roman"/>
          <w:vertAlign w:val="superscript"/>
        </w:rPr>
        <w:t>th</w:t>
      </w:r>
      <w:r w:rsidRPr="00256D66">
        <w:rPr>
          <w:rFonts w:ascii="Times New Roman" w:hAnsi="Times New Roman" w:cs="Times New Roman"/>
        </w:rPr>
        <w:t xml:space="preserve"> Cong., 3d Sess.2 (1905).</w:t>
      </w:r>
      <w:proofErr w:type="gramEnd"/>
    </w:p>
  </w:footnote>
  <w:footnote w:id="96">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33 Op. Atty. Gen. at 21-22.</w:t>
      </w:r>
      <w:proofErr w:type="gramEnd"/>
    </w:p>
  </w:footnote>
  <w:footnote w:id="97">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4A377B">
        <w:rPr>
          <w:rFonts w:ascii="Times New Roman" w:hAnsi="Times New Roman" w:cs="Times New Roman"/>
        </w:rPr>
        <w:t>Id</w:t>
      </w:r>
      <w:r w:rsidRPr="00256D66">
        <w:rPr>
          <w:rFonts w:ascii="Times New Roman" w:hAnsi="Times New Roman" w:cs="Times New Roman"/>
        </w:rPr>
        <w:t>. at</w:t>
      </w:r>
      <w:r>
        <w:rPr>
          <w:rFonts w:ascii="Times New Roman" w:hAnsi="Times New Roman" w:cs="Times New Roman"/>
        </w:rPr>
        <w:t xml:space="preserve"> </w:t>
      </w:r>
      <w:r w:rsidRPr="00256D66">
        <w:rPr>
          <w:rFonts w:ascii="Times New Roman" w:hAnsi="Times New Roman" w:cs="Times New Roman"/>
        </w:rPr>
        <w:t>25.</w:t>
      </w:r>
      <w:proofErr w:type="gramEnd"/>
    </w:p>
  </w:footnote>
  <w:footnote w:id="98">
    <w:p w:rsidR="003A3CFC" w:rsidRDefault="003A3CFC">
      <w:pPr>
        <w:pStyle w:val="FootnoteText"/>
      </w:pPr>
      <w:r w:rsidRPr="009652F1">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23 Op. Atty. Gen. 599 (1</w:t>
      </w:r>
      <w:r w:rsidRPr="009652F1">
        <w:rPr>
          <w:rFonts w:ascii="Times New Roman" w:hAnsi="Times New Roman" w:cs="Times New Roman"/>
        </w:rPr>
        <w:t>901).</w:t>
      </w:r>
      <w:proofErr w:type="gramEnd"/>
      <w:r w:rsidRPr="009652F1">
        <w:rPr>
          <w:rFonts w:ascii="Times New Roman" w:hAnsi="Times New Roman" w:cs="Times New Roman"/>
        </w:rPr>
        <w:t xml:space="preserve"> </w:t>
      </w:r>
    </w:p>
  </w:footnote>
  <w:footnote w:id="99">
    <w:p w:rsidR="003A3CFC" w:rsidRDefault="003A3CFC">
      <w:pPr>
        <w:pStyle w:val="FootnoteText"/>
      </w:pPr>
      <w:r w:rsidRPr="00DF0FC2">
        <w:rPr>
          <w:rStyle w:val="FootnoteReference"/>
          <w:rFonts w:ascii="Times New Roman" w:hAnsi="Times New Roman" w:cs="Times New Roman"/>
        </w:rPr>
        <w:footnoteRef/>
      </w:r>
      <w:r w:rsidRPr="00DF0FC2">
        <w:rPr>
          <w:rFonts w:ascii="Times New Roman" w:hAnsi="Times New Roman" w:cs="Times New Roman"/>
        </w:rPr>
        <w:t xml:space="preserve"> </w:t>
      </w:r>
      <w:proofErr w:type="gramStart"/>
      <w:r w:rsidRPr="00DF0FC2">
        <w:rPr>
          <w:rFonts w:ascii="Times New Roman" w:hAnsi="Times New Roman" w:cs="Times New Roman"/>
        </w:rPr>
        <w:t>33 Op. Atty. Gen. 20 (1921).</w:t>
      </w:r>
      <w:proofErr w:type="gramEnd"/>
    </w:p>
  </w:footnote>
  <w:footnote w:id="100">
    <w:p w:rsidR="003A3CFC" w:rsidRPr="00663C64" w:rsidRDefault="003A3CFC">
      <w:pPr>
        <w:pStyle w:val="FootnoteText"/>
        <w:rPr>
          <w:rFonts w:ascii="Times New Roman" w:hAnsi="Times New Roman" w:cs="Times New Roman"/>
        </w:rPr>
      </w:pPr>
      <w:r>
        <w:rPr>
          <w:rStyle w:val="FootnoteReference"/>
        </w:rPr>
        <w:footnoteRef/>
      </w:r>
      <w:r>
        <w:t xml:space="preserve"> </w:t>
      </w:r>
      <w:r w:rsidRPr="006853C7">
        <w:rPr>
          <w:rFonts w:ascii="Times New Roman" w:hAnsi="Times New Roman" w:cs="Times New Roman"/>
        </w:rPr>
        <w:t>Carrier, supra note 50 at 2212 note 48.</w:t>
      </w:r>
    </w:p>
  </w:footnote>
  <w:footnote w:id="101">
    <w:p w:rsidR="003A3CFC" w:rsidRPr="00663C64"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proofErr w:type="gramStart"/>
      <w:r w:rsidRPr="004A377B">
        <w:rPr>
          <w:rFonts w:ascii="Times New Roman" w:hAnsi="Times New Roman" w:cs="Times New Roman"/>
          <w:i/>
        </w:rPr>
        <w:t>Woodley  v</w:t>
      </w:r>
      <w:proofErr w:type="gramEnd"/>
      <w:r w:rsidRPr="004A377B">
        <w:rPr>
          <w:rFonts w:ascii="Times New Roman" w:hAnsi="Times New Roman" w:cs="Times New Roman"/>
          <w:i/>
        </w:rPr>
        <w:t>. United States</w:t>
      </w:r>
      <w:r w:rsidRPr="006853C7">
        <w:rPr>
          <w:rFonts w:ascii="Times New Roman" w:hAnsi="Times New Roman" w:cs="Times New Roman"/>
        </w:rPr>
        <w:t>, 751 F.2d 1008 (9</w:t>
      </w:r>
      <w:r>
        <w:rPr>
          <w:rFonts w:ascii="Times New Roman" w:hAnsi="Times New Roman" w:cs="Times New Roman"/>
          <w:vertAlign w:val="superscript"/>
        </w:rPr>
        <w:t>th</w:t>
      </w:r>
      <w:r w:rsidRPr="006853C7">
        <w:rPr>
          <w:rFonts w:ascii="Times New Roman" w:hAnsi="Times New Roman" w:cs="Times New Roman"/>
        </w:rPr>
        <w:t xml:space="preserve"> Cir. 1985)(quoting </w:t>
      </w:r>
      <w:r w:rsidRPr="004A377B">
        <w:rPr>
          <w:rFonts w:ascii="Times New Roman" w:hAnsi="Times New Roman" w:cs="Times New Roman"/>
          <w:i/>
        </w:rPr>
        <w:t>Buckley v. Valeo</w:t>
      </w:r>
      <w:r w:rsidRPr="006853C7">
        <w:rPr>
          <w:rFonts w:ascii="Times New Roman" w:hAnsi="Times New Roman" w:cs="Times New Roman"/>
        </w:rPr>
        <w:t>, 424 U.S. 1, 140 n.176).</w:t>
      </w:r>
    </w:p>
  </w:footnote>
  <w:footnote w:id="102">
    <w:p w:rsidR="003A3CFC" w:rsidRPr="00663C64"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proofErr w:type="gramStart"/>
      <w:r w:rsidRPr="006853C7">
        <w:rPr>
          <w:rFonts w:ascii="Times New Roman" w:hAnsi="Times New Roman" w:cs="Times New Roman"/>
        </w:rPr>
        <w:t>462  U.S</w:t>
      </w:r>
      <w:proofErr w:type="gramEnd"/>
      <w:r w:rsidRPr="006853C7">
        <w:rPr>
          <w:rFonts w:ascii="Times New Roman" w:hAnsi="Times New Roman" w:cs="Times New Roman"/>
        </w:rPr>
        <w:t>. 919 (1983).</w:t>
      </w:r>
    </w:p>
  </w:footnote>
  <w:footnote w:id="103">
    <w:p w:rsidR="003A3CFC" w:rsidRPr="00C638C1"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proofErr w:type="gramStart"/>
      <w:r w:rsidRPr="006853C7">
        <w:rPr>
          <w:rFonts w:ascii="Times New Roman" w:hAnsi="Times New Roman" w:cs="Times New Roman"/>
        </w:rPr>
        <w:t>462 U.S. at 340-41.</w:t>
      </w:r>
      <w:proofErr w:type="gramEnd"/>
      <w:r w:rsidRPr="006853C7">
        <w:rPr>
          <w:rFonts w:ascii="Times New Roman" w:hAnsi="Times New Roman" w:cs="Times New Roman"/>
        </w:rPr>
        <w:t xml:space="preserve"> The Court was </w:t>
      </w:r>
      <w:proofErr w:type="gramStart"/>
      <w:r w:rsidRPr="006853C7">
        <w:rPr>
          <w:rFonts w:ascii="Times New Roman" w:hAnsi="Times New Roman" w:cs="Times New Roman"/>
        </w:rPr>
        <w:t>also  undoubtedly</w:t>
      </w:r>
      <w:proofErr w:type="gramEnd"/>
      <w:r w:rsidRPr="006853C7">
        <w:rPr>
          <w:rFonts w:ascii="Times New Roman" w:hAnsi="Times New Roman" w:cs="Times New Roman"/>
        </w:rPr>
        <w:t xml:space="preserve">  aware that in 1982 the Senate passed by a 94-0 vote </w:t>
      </w:r>
      <w:r>
        <w:rPr>
          <w:rFonts w:ascii="Times New Roman" w:hAnsi="Times New Roman" w:cs="Times New Roman"/>
        </w:rPr>
        <w:t xml:space="preserve">a </w:t>
      </w:r>
      <w:r w:rsidRPr="006853C7">
        <w:rPr>
          <w:rFonts w:ascii="Times New Roman" w:hAnsi="Times New Roman" w:cs="Times New Roman"/>
        </w:rPr>
        <w:t xml:space="preserve">regulatory reform  bill,  S. 1080, that would </w:t>
      </w:r>
      <w:r>
        <w:rPr>
          <w:rFonts w:ascii="Times New Roman" w:hAnsi="Times New Roman" w:cs="Times New Roman"/>
        </w:rPr>
        <w:t xml:space="preserve">have </w:t>
      </w:r>
      <w:r w:rsidRPr="006853C7">
        <w:rPr>
          <w:rFonts w:ascii="Times New Roman" w:hAnsi="Times New Roman" w:cs="Times New Roman"/>
        </w:rPr>
        <w:t>impose</w:t>
      </w:r>
      <w:r>
        <w:rPr>
          <w:rFonts w:ascii="Times New Roman" w:hAnsi="Times New Roman" w:cs="Times New Roman"/>
        </w:rPr>
        <w:t>d</w:t>
      </w:r>
      <w:r w:rsidRPr="006853C7">
        <w:rPr>
          <w:rFonts w:ascii="Times New Roman" w:hAnsi="Times New Roman" w:cs="Times New Roman"/>
        </w:rPr>
        <w:t xml:space="preserve"> a two-house legislative</w:t>
      </w:r>
      <w:r>
        <w:rPr>
          <w:rFonts w:ascii="Times New Roman" w:hAnsi="Times New Roman" w:cs="Times New Roman"/>
        </w:rPr>
        <w:t xml:space="preserve"> </w:t>
      </w:r>
      <w:r w:rsidRPr="006853C7">
        <w:rPr>
          <w:rFonts w:ascii="Times New Roman" w:hAnsi="Times New Roman" w:cs="Times New Roman"/>
        </w:rPr>
        <w:t>veto on all future agency rulemakings.</w:t>
      </w:r>
      <w:r>
        <w:rPr>
          <w:rFonts w:ascii="Times New Roman" w:hAnsi="Times New Roman" w:cs="Times New Roman"/>
        </w:rPr>
        <w:t xml:space="preserve"> </w:t>
      </w:r>
      <w:r w:rsidRPr="006853C7">
        <w:rPr>
          <w:rFonts w:ascii="Times New Roman" w:hAnsi="Times New Roman" w:cs="Times New Roman"/>
        </w:rPr>
        <w:t xml:space="preserve">128 Cong. Rec. S2572-2605 (daily </w:t>
      </w:r>
      <w:proofErr w:type="gramStart"/>
      <w:r w:rsidRPr="006853C7">
        <w:rPr>
          <w:rFonts w:ascii="Times New Roman" w:hAnsi="Times New Roman" w:cs="Times New Roman"/>
        </w:rPr>
        <w:t>ed</w:t>
      </w:r>
      <w:proofErr w:type="gramEnd"/>
      <w:r w:rsidRPr="006853C7">
        <w:rPr>
          <w:rFonts w:ascii="Times New Roman" w:hAnsi="Times New Roman" w:cs="Times New Roman"/>
        </w:rPr>
        <w:t xml:space="preserve">. </w:t>
      </w:r>
      <w:r>
        <w:rPr>
          <w:rFonts w:ascii="Times New Roman" w:hAnsi="Times New Roman" w:cs="Times New Roman"/>
        </w:rPr>
        <w:t xml:space="preserve"> </w:t>
      </w:r>
      <w:r w:rsidRPr="006853C7">
        <w:rPr>
          <w:rFonts w:ascii="Times New Roman" w:hAnsi="Times New Roman" w:cs="Times New Roman"/>
        </w:rPr>
        <w:t xml:space="preserve">March 23, 1982). </w:t>
      </w:r>
      <w:r>
        <w:rPr>
          <w:rFonts w:ascii="Times New Roman" w:hAnsi="Times New Roman" w:cs="Times New Roman"/>
        </w:rPr>
        <w:t xml:space="preserve"> </w:t>
      </w:r>
      <w:r w:rsidRPr="006853C7">
        <w:rPr>
          <w:rFonts w:ascii="Times New Roman" w:hAnsi="Times New Roman" w:cs="Times New Roman"/>
        </w:rPr>
        <w:t xml:space="preserve">A house companion bill, H.R. 746, did not receive floor consideration. </w:t>
      </w:r>
    </w:p>
  </w:footnote>
  <w:footnote w:id="104">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3 Op. Off.</w:t>
      </w:r>
      <w:proofErr w:type="gramEnd"/>
      <w:r w:rsidRPr="00256D66">
        <w:rPr>
          <w:rFonts w:ascii="Times New Roman" w:hAnsi="Times New Roman" w:cs="Times New Roman"/>
        </w:rPr>
        <w:t xml:space="preserve"> Legal Counsel 314, 315 (1979).</w:t>
      </w:r>
    </w:p>
  </w:footnote>
  <w:footnote w:id="105">
    <w:p w:rsidR="003A3CFC" w:rsidRPr="00AF73BE"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1 Stat. 415 (1795).</w:t>
      </w:r>
      <w:proofErr w:type="gramEnd"/>
      <w:r w:rsidRPr="00256D66">
        <w:rPr>
          <w:rFonts w:ascii="Times New Roman" w:hAnsi="Times New Roman" w:cs="Times New Roman"/>
        </w:rPr>
        <w:t xml:space="preserve"> On the history of vacancies acts, see Morton Rosenberg, “Validity of Designation of Bill</w:t>
      </w:r>
      <w:r>
        <w:rPr>
          <w:rFonts w:ascii="Times New Roman" w:hAnsi="Times New Roman" w:cs="Times New Roman"/>
        </w:rPr>
        <w:t xml:space="preserve"> Lann </w:t>
      </w:r>
      <w:r w:rsidRPr="00256D66">
        <w:rPr>
          <w:rFonts w:ascii="Times New Roman" w:hAnsi="Times New Roman" w:cs="Times New Roman"/>
        </w:rPr>
        <w:t>Lee As Acting Attorney General for Civil Rights,” CRS General Distribution Memo, January 14, 1998 (CRS Va</w:t>
      </w:r>
      <w:r>
        <w:rPr>
          <w:rFonts w:ascii="Times New Roman" w:hAnsi="Times New Roman" w:cs="Times New Roman"/>
        </w:rPr>
        <w:t>c</w:t>
      </w:r>
      <w:r w:rsidRPr="00256D66">
        <w:rPr>
          <w:rFonts w:ascii="Times New Roman" w:hAnsi="Times New Roman" w:cs="Times New Roman"/>
        </w:rPr>
        <w:t>ancies Memo).</w:t>
      </w:r>
      <w:r>
        <w:rPr>
          <w:rFonts w:ascii="Times New Roman" w:hAnsi="Times New Roman" w:cs="Times New Roman"/>
        </w:rPr>
        <w:t xml:space="preserve">  </w:t>
      </w:r>
    </w:p>
  </w:footnote>
  <w:footnote w:id="106">
    <w:p w:rsidR="003A3CFC" w:rsidRDefault="003A3CFC">
      <w:pPr>
        <w:pStyle w:val="FootnoteText"/>
      </w:pPr>
      <w:r>
        <w:rPr>
          <w:rStyle w:val="FootnoteReference"/>
        </w:rPr>
        <w:footnoteRef/>
      </w:r>
      <w:r>
        <w:t xml:space="preserve"> </w:t>
      </w:r>
      <w:proofErr w:type="gramStart"/>
      <w:r>
        <w:t>Act of July 23, 1868, ch. 227, 15 Stat. 168.</w:t>
      </w:r>
      <w:proofErr w:type="gramEnd"/>
    </w:p>
  </w:footnote>
  <w:footnote w:id="107">
    <w:p w:rsidR="003A3CFC" w:rsidRDefault="003A3CFC">
      <w:pPr>
        <w:pStyle w:val="FootnoteText"/>
      </w:pPr>
      <w:r>
        <w:rPr>
          <w:rStyle w:val="FootnoteReference"/>
        </w:rPr>
        <w:footnoteRef/>
      </w:r>
      <w:r>
        <w:t xml:space="preserve"> CRS Vacancies Memo, 6-7 (detailing legislative history).</w:t>
      </w:r>
    </w:p>
  </w:footnote>
  <w:footnote w:id="108">
    <w:p w:rsidR="003A3CFC" w:rsidRDefault="003A3CFC">
      <w:pPr>
        <w:pStyle w:val="FootnoteText"/>
      </w:pPr>
      <w:r>
        <w:rPr>
          <w:rStyle w:val="FootnoteReference"/>
        </w:rPr>
        <w:footnoteRef/>
      </w:r>
      <w:r>
        <w:t xml:space="preserve">  The 1868 Act replaced the Act of February 20, 1863, ch. 45, 12 Stat. 56, which allowed temporary appointments for up to six months. </w:t>
      </w:r>
    </w:p>
  </w:footnote>
  <w:footnote w:id="109">
    <w:p w:rsidR="003A3CFC" w:rsidRDefault="003A3CFC">
      <w:pPr>
        <w:pStyle w:val="FootnoteText"/>
      </w:pPr>
      <w:r>
        <w:rPr>
          <w:rStyle w:val="FootnoteReference"/>
        </w:rPr>
        <w:footnoteRef/>
      </w:r>
      <w:r>
        <w:t xml:space="preserve"> See, 16 Op. Atty. Gen. 596, 597 (1880); 17 Op. Atty. Gen, 530 (1883); 18 Op. Atty. Gen. 50 (1884); 18 Op. Atty. Gen 58 (1884); 20 Op. Atty. Gen. 8 (1891)</w:t>
      </w:r>
      <w:proofErr w:type="gramStart"/>
      <w:r>
        <w:t>;  27</w:t>
      </w:r>
      <w:proofErr w:type="gramEnd"/>
      <w:r>
        <w:t xml:space="preserve"> Op. Atty. Gen. 337, 345-46 (1909);  and 32 Op. Atty. Gen. 139, 141 (1920). The 1920 AG opinion was cited approvingly as the Department’s definitive interpretation of Section 3348 of the Act by 1977 Office of Legal Counsel opinion. </w:t>
      </w:r>
      <w:proofErr w:type="gramStart"/>
      <w:r>
        <w:t>1 Op. OLC 150, 152 n.1 (1977).</w:t>
      </w:r>
      <w:proofErr w:type="gramEnd"/>
      <w:r>
        <w:t xml:space="preserve"> See also CRs Vacancies Memo at 7-8, discussing the AG opinions.   </w:t>
      </w:r>
    </w:p>
  </w:footnote>
  <w:footnote w:id="110">
    <w:p w:rsidR="003A3CFC" w:rsidRPr="00F920A2" w:rsidRDefault="003A3CFC">
      <w:pPr>
        <w:pStyle w:val="FootnoteText"/>
      </w:pPr>
      <w:r>
        <w:rPr>
          <w:rStyle w:val="FootnoteReference"/>
        </w:rPr>
        <w:footnoteRef/>
      </w:r>
      <w:r>
        <w:t xml:space="preserve"> Pub. L. 105-277, 112 Stat. 2681-611, </w:t>
      </w:r>
      <w:r>
        <w:rPr>
          <w:i/>
        </w:rPr>
        <w:t xml:space="preserve">codified at </w:t>
      </w:r>
      <w:r>
        <w:t>5 U.S.C. 3345-3349d (2006).</w:t>
      </w:r>
    </w:p>
  </w:footnote>
  <w:footnote w:id="111">
    <w:p w:rsidR="003A3CFC" w:rsidRDefault="003A3CFC">
      <w:pPr>
        <w:pStyle w:val="FootnoteText"/>
      </w:pPr>
      <w:r>
        <w:rPr>
          <w:rStyle w:val="FootnoteReference"/>
        </w:rPr>
        <w:footnoteRef/>
      </w:r>
      <w:r>
        <w:t xml:space="preserve"> See, “Federal Vacancies Reform Act of 1998,” Senate Report No. 105-250, 105</w:t>
      </w:r>
      <w:r w:rsidRPr="00EF24C9">
        <w:rPr>
          <w:vertAlign w:val="superscript"/>
        </w:rPr>
        <w:t>th</w:t>
      </w:r>
      <w:r>
        <w:t xml:space="preserve"> Cong., 2d Sess. 3 (1998) (Senate Report). </w:t>
      </w:r>
    </w:p>
  </w:footnote>
  <w:footnote w:id="112">
    <w:p w:rsidR="003A3CFC" w:rsidRDefault="003A3CFC">
      <w:pPr>
        <w:pStyle w:val="FootnoteText"/>
      </w:pPr>
      <w:r>
        <w:rPr>
          <w:rStyle w:val="FootnoteReference"/>
        </w:rPr>
        <w:footnoteRef/>
      </w:r>
      <w:r>
        <w:t xml:space="preserve"> </w:t>
      </w:r>
      <w:proofErr w:type="gramStart"/>
      <w:r>
        <w:t>Senate Report at 5.</w:t>
      </w:r>
      <w:proofErr w:type="gramEnd"/>
    </w:p>
  </w:footnote>
  <w:footnote w:id="113">
    <w:p w:rsidR="003A3CFC" w:rsidRPr="002928F5" w:rsidRDefault="003A3CFC">
      <w:pPr>
        <w:pStyle w:val="FootnoteText"/>
      </w:pPr>
      <w:r>
        <w:rPr>
          <w:rStyle w:val="FootnoteReference"/>
        </w:rPr>
        <w:footnoteRef/>
      </w:r>
      <w:r>
        <w:t xml:space="preserve"> See 5 U.S.C. 3547 (b) and Senate Report at 17. The Senate Report also took pains to explain the Reform Act’s repudiation and correction of the holding in </w:t>
      </w:r>
      <w:r>
        <w:rPr>
          <w:i/>
        </w:rPr>
        <w:t xml:space="preserve">Doolin Security Savings Bank v. OTS, </w:t>
      </w:r>
      <w:r>
        <w:t>139 F. 3d 203 (D.C. Cir. 1998), that the then-120 day time limit on the occupancy of a covered vacant office does not commence until the President acts to temporarily fill a vacancy pursuant to the terms of the Act. That is, in the court’s view, if there was no first assistant and the President did not immediately act to designate an eligible official, the vacancy had not been “filled” and the 120-day limitation period did not begin to run. Asserting that</w:t>
      </w:r>
      <w:r w:rsidR="00D83BB6">
        <w:t xml:space="preserve"> this was never the case and that the reform act will reflect this interpretive rejection, the report </w:t>
      </w:r>
      <w:proofErr w:type="gramStart"/>
      <w:r w:rsidR="00D83BB6">
        <w:t>explains that</w:t>
      </w:r>
      <w:proofErr w:type="gramEnd"/>
      <w:r w:rsidR="00D83BB6">
        <w:t xml:space="preserve"> “A limit must be placed on the president’s time to fill a position. If the purpose of the Vacancies Act is to limit the </w:t>
      </w:r>
      <w:proofErr w:type="gramStart"/>
      <w:r w:rsidR="00D83BB6">
        <w:t>President’s  power</w:t>
      </w:r>
      <w:proofErr w:type="gramEnd"/>
      <w:r w:rsidR="00D83BB6">
        <w:t xml:space="preserve"> to designate temporary officers</w:t>
      </w:r>
      <w:r w:rsidR="00D03BFB">
        <w:t xml:space="preserve">, a position requiring Senate confirmation may not be held by a temporary appointment for as long as the president unilaterally decides. Such a scheme obliterates the constitutional requirement that the officer serve only after the Senate confirms the nominee.” The Report’s section-by-section analysisof new sections 3345 and </w:t>
      </w:r>
      <w:proofErr w:type="gramStart"/>
      <w:r w:rsidR="00D03BFB">
        <w:t>3346  explicitly</w:t>
      </w:r>
      <w:proofErr w:type="gramEnd"/>
      <w:r w:rsidR="00D03BFB">
        <w:t xml:space="preserve"> reject this view. </w:t>
      </w:r>
      <w:proofErr w:type="gramStart"/>
      <w:r w:rsidR="00D03BFB">
        <w:t>Senate Report</w:t>
      </w:r>
      <w:r w:rsidR="00D0551E">
        <w:t xml:space="preserve"> at</w:t>
      </w:r>
      <w:r w:rsidR="00D03BFB">
        <w:t xml:space="preserve"> 5-9, 11-13.</w:t>
      </w:r>
      <w:proofErr w:type="gramEnd"/>
      <w:r w:rsidR="00D83BB6">
        <w:t xml:space="preserve"> </w:t>
      </w:r>
      <w:r>
        <w:t xml:space="preserve">   </w:t>
      </w:r>
    </w:p>
  </w:footnote>
  <w:footnote w:id="114">
    <w:p w:rsidR="003A3CFC" w:rsidRPr="00116836"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r w:rsidRPr="006853C7">
        <w:rPr>
          <w:rFonts w:ascii="Times New Roman" w:hAnsi="Times New Roman" w:cs="Times New Roman"/>
          <w:i/>
          <w:iCs/>
        </w:rPr>
        <w:t xml:space="preserve">Wilkinson v. Legal </w:t>
      </w:r>
      <w:proofErr w:type="gramStart"/>
      <w:r w:rsidRPr="006853C7">
        <w:rPr>
          <w:rFonts w:ascii="Times New Roman" w:hAnsi="Times New Roman" w:cs="Times New Roman"/>
          <w:i/>
          <w:iCs/>
        </w:rPr>
        <w:t>Services  Corp</w:t>
      </w:r>
      <w:proofErr w:type="gramEnd"/>
      <w:r w:rsidRPr="006853C7">
        <w:rPr>
          <w:rFonts w:ascii="Times New Roman" w:hAnsi="Times New Roman" w:cs="Times New Roman"/>
        </w:rPr>
        <w:t>. 865 F. Supp. 891, 900 (D.D.C. 1994), rev’d on other grounds, 80 F. 3d 535 (D.C. Cir. 1996) and Mackie v. Clinton, 827 F. Supp</w:t>
      </w:r>
      <w:r>
        <w:rPr>
          <w:rFonts w:ascii="Times New Roman" w:hAnsi="Times New Roman" w:cs="Times New Roman"/>
        </w:rPr>
        <w:t>.</w:t>
      </w:r>
      <w:r w:rsidRPr="006853C7">
        <w:rPr>
          <w:rFonts w:ascii="Times New Roman" w:hAnsi="Times New Roman" w:cs="Times New Roman"/>
        </w:rPr>
        <w:t xml:space="preserve"> 56, 57-58 (D.D.C. 1993)</w:t>
      </w:r>
      <w:r>
        <w:rPr>
          <w:rFonts w:ascii="Times New Roman" w:hAnsi="Times New Roman" w:cs="Times New Roman"/>
        </w:rPr>
        <w:t xml:space="preserve"> </w:t>
      </w:r>
      <w:r w:rsidRPr="006853C7">
        <w:rPr>
          <w:rFonts w:ascii="Times New Roman" w:hAnsi="Times New Roman" w:cs="Times New Roman"/>
        </w:rPr>
        <w:t xml:space="preserve">vacated as moot (D.C. Cir. </w:t>
      </w:r>
      <w:proofErr w:type="gramStart"/>
      <w:r w:rsidRPr="006853C7">
        <w:rPr>
          <w:rFonts w:ascii="Times New Roman" w:hAnsi="Times New Roman" w:cs="Times New Roman"/>
        </w:rPr>
        <w:t>Mar. 9, 1994).</w:t>
      </w:r>
      <w:proofErr w:type="gramEnd"/>
    </w:p>
  </w:footnote>
  <w:footnote w:id="115">
    <w:p w:rsidR="003A3CFC" w:rsidRPr="00116836"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r w:rsidRPr="006853C7">
        <w:rPr>
          <w:rFonts w:ascii="Times New Roman" w:hAnsi="Times New Roman" w:cs="Times New Roman"/>
          <w:i/>
          <w:iCs/>
        </w:rPr>
        <w:t>McCalpin v. Dana</w:t>
      </w:r>
      <w:r w:rsidRPr="006853C7">
        <w:rPr>
          <w:rFonts w:ascii="Times New Roman" w:hAnsi="Times New Roman" w:cs="Times New Roman"/>
        </w:rPr>
        <w:t>, No. 82-542 (D.D.C. October 5, 1982), appeal dismissed as moot, 766, F.2d 535 (D.C. Cir. 1984).</w:t>
      </w:r>
    </w:p>
  </w:footnote>
  <w:footnote w:id="116">
    <w:p w:rsidR="003A3CFC" w:rsidRPr="00116836"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proofErr w:type="gramStart"/>
      <w:r w:rsidRPr="006853C7">
        <w:rPr>
          <w:rFonts w:ascii="Times New Roman" w:hAnsi="Times New Roman" w:cs="Times New Roman"/>
        </w:rPr>
        <w:t>100 F. 3d 973 (D.C. Cir. 1996).</w:t>
      </w:r>
      <w:proofErr w:type="gramEnd"/>
    </w:p>
  </w:footnote>
  <w:footnote w:id="117">
    <w:p w:rsidR="003A3CFC" w:rsidRPr="00116836" w:rsidRDefault="003A3CFC">
      <w:pPr>
        <w:pStyle w:val="FootnoteText"/>
        <w:rPr>
          <w:rFonts w:ascii="Times New Roman" w:hAnsi="Times New Roman" w:cs="Times New Roman"/>
        </w:rPr>
      </w:pPr>
      <w:r w:rsidRPr="006853C7">
        <w:rPr>
          <w:rStyle w:val="FootnoteReference"/>
          <w:rFonts w:ascii="Times New Roman" w:hAnsi="Times New Roman" w:cs="Times New Roman"/>
        </w:rPr>
        <w:footnoteRef/>
      </w:r>
      <w:r w:rsidRPr="006853C7">
        <w:rPr>
          <w:rFonts w:ascii="Times New Roman" w:hAnsi="Times New Roman" w:cs="Times New Roman"/>
        </w:rPr>
        <w:t xml:space="preserve"> </w:t>
      </w:r>
      <w:proofErr w:type="gramStart"/>
      <w:r w:rsidRPr="006853C7">
        <w:rPr>
          <w:rFonts w:ascii="Times New Roman" w:hAnsi="Times New Roman" w:cs="Times New Roman"/>
        </w:rPr>
        <w:t>12 Stat. 642 (1863).</w:t>
      </w:r>
      <w:proofErr w:type="gramEnd"/>
    </w:p>
  </w:footnote>
  <w:footnote w:id="118">
    <w:p w:rsidR="003A3CFC" w:rsidRPr="00116836" w:rsidRDefault="003A3CFC">
      <w:pPr>
        <w:pStyle w:val="FootnoteText"/>
        <w:rPr>
          <w:rFonts w:ascii="Times New Roman" w:hAnsi="Times New Roman" w:cs="Times New Roman"/>
        </w:rPr>
      </w:pPr>
      <w:r w:rsidRPr="006853C7">
        <w:rPr>
          <w:rStyle w:val="FootnoteReference"/>
          <w:rFonts w:ascii="Times New Roman" w:hAnsi="Times New Roman" w:cs="Times New Roman"/>
        </w:rPr>
        <w:footnoteRef/>
      </w:r>
      <w:r w:rsidRPr="006853C7">
        <w:rPr>
          <w:rFonts w:ascii="Times New Roman" w:hAnsi="Times New Roman" w:cs="Times New Roman"/>
        </w:rPr>
        <w:t xml:space="preserve"> 33 Cong. </w:t>
      </w:r>
      <w:proofErr w:type="gramStart"/>
      <w:r w:rsidRPr="006853C7">
        <w:rPr>
          <w:rFonts w:ascii="Times New Roman" w:hAnsi="Times New Roman" w:cs="Times New Roman"/>
        </w:rPr>
        <w:t>Globe</w:t>
      </w:r>
      <w:proofErr w:type="gramEnd"/>
      <w:r w:rsidRPr="006853C7">
        <w:rPr>
          <w:rFonts w:ascii="Times New Roman" w:hAnsi="Times New Roman" w:cs="Times New Roman"/>
        </w:rPr>
        <w:t xml:space="preserve"> 564-65 (1863)</w:t>
      </w:r>
      <w:r>
        <w:rPr>
          <w:rFonts w:ascii="Times New Roman" w:hAnsi="Times New Roman" w:cs="Times New Roman"/>
        </w:rPr>
        <w:t>.</w:t>
      </w:r>
    </w:p>
  </w:footnote>
  <w:footnote w:id="119">
    <w:p w:rsidR="003A3CFC" w:rsidRPr="00495324" w:rsidRDefault="003A3CFC">
      <w:pPr>
        <w:pStyle w:val="FootnoteText"/>
        <w:rPr>
          <w:rFonts w:ascii="Times New Roman" w:hAnsi="Times New Roman" w:cs="Times New Roman"/>
        </w:rPr>
      </w:pPr>
      <w:r w:rsidRPr="006853C7">
        <w:rPr>
          <w:rStyle w:val="FootnoteReference"/>
          <w:rFonts w:ascii="Times New Roman" w:hAnsi="Times New Roman" w:cs="Times New Roman"/>
        </w:rPr>
        <w:footnoteRef/>
      </w:r>
      <w:r w:rsidRPr="006853C7">
        <w:rPr>
          <w:rFonts w:ascii="Times New Roman" w:hAnsi="Times New Roman" w:cs="Times New Roman"/>
        </w:rPr>
        <w:t xml:space="preserve"> 5 U.S.C. </w:t>
      </w:r>
      <w:proofErr w:type="gramStart"/>
      <w:r w:rsidRPr="006853C7">
        <w:rPr>
          <w:rFonts w:ascii="Times New Roman" w:hAnsi="Times New Roman" w:cs="Times New Roman"/>
        </w:rPr>
        <w:t>§  5503</w:t>
      </w:r>
      <w:proofErr w:type="gramEnd"/>
      <w:r w:rsidRPr="006853C7">
        <w:rPr>
          <w:rFonts w:ascii="Times New Roman" w:hAnsi="Times New Roman" w:cs="Times New Roman"/>
        </w:rPr>
        <w:t xml:space="preserve"> (a)(1)-(3), (b)(2006).</w:t>
      </w:r>
      <w:r>
        <w:rPr>
          <w:rFonts w:ascii="Times New Roman" w:hAnsi="Times New Roman" w:cs="Times New Roman"/>
        </w:rPr>
        <w:t xml:space="preserve"> See Michael Stern, “</w:t>
      </w:r>
      <w:r>
        <w:rPr>
          <w:rFonts w:ascii="Times New Roman" w:hAnsi="Times New Roman" w:cs="Times New Roman"/>
          <w:i/>
        </w:rPr>
        <w:t xml:space="preserve">The Pay Act and the GAO as a Means of Constitutional Settlement,” August 16, 2012, accessible at </w:t>
      </w:r>
      <w:r>
        <w:rPr>
          <w:rFonts w:ascii="Times New Roman" w:hAnsi="Times New Roman" w:cs="Times New Roman"/>
        </w:rPr>
        <w:t>www.pointoforder.com/recessappointments.</w:t>
      </w:r>
    </w:p>
  </w:footnote>
  <w:footnote w:id="120">
    <w:p w:rsidR="003A3CFC" w:rsidRDefault="003A3CFC">
      <w:pPr>
        <w:pStyle w:val="FootnoteText"/>
      </w:pPr>
      <w:r>
        <w:rPr>
          <w:rStyle w:val="FootnoteReference"/>
        </w:rPr>
        <w:footnoteRef/>
      </w:r>
      <w:r>
        <w:t xml:space="preserve"> 5 U.S.C. note </w:t>
      </w:r>
      <w:proofErr w:type="gramStart"/>
      <w:r>
        <w:t>preceding  Section</w:t>
      </w:r>
      <w:proofErr w:type="gramEnd"/>
      <w:r>
        <w:t xml:space="preserve"> 5501; Pub.L. </w:t>
      </w:r>
      <w:proofErr w:type="gramStart"/>
      <w:r>
        <w:t>110-161, 121 Stat. 2021 (2007).</w:t>
      </w:r>
      <w:proofErr w:type="gramEnd"/>
    </w:p>
  </w:footnote>
  <w:footnote w:id="121">
    <w:p w:rsidR="003A3CFC" w:rsidRDefault="003A3CFC">
      <w:pPr>
        <w:pStyle w:val="FootnoteText"/>
      </w:pPr>
      <w:r>
        <w:rPr>
          <w:rStyle w:val="FootnoteReference"/>
        </w:rPr>
        <w:footnoteRef/>
      </w:r>
      <w:r>
        <w:t xml:space="preserve"> Pub. L. 111-8, 123 Stat. 693 (2009). Although the limitation appears to be designed </w:t>
      </w:r>
      <w:r w:rsidR="00D0551E">
        <w:t xml:space="preserve">for </w:t>
      </w:r>
      <w:r>
        <w:t>payment to persons appointed pursuant to the Vacancies Reform Act, it arguably could be applied</w:t>
      </w:r>
      <w:r w:rsidR="00D0551E">
        <w:t xml:space="preserve"> to</w:t>
      </w:r>
      <w:r>
        <w:t xml:space="preserve"> recess appointees given they are acting in a “temporary capacity.”</w:t>
      </w:r>
    </w:p>
  </w:footnote>
  <w:footnote w:id="122">
    <w:p w:rsidR="003A3CFC" w:rsidRPr="00116836" w:rsidRDefault="003A3CFC">
      <w:pPr>
        <w:pStyle w:val="FootnoteText"/>
        <w:rPr>
          <w:rFonts w:ascii="Times New Roman" w:hAnsi="Times New Roman" w:cs="Times New Roman"/>
        </w:rPr>
      </w:pPr>
      <w:r>
        <w:rPr>
          <w:rStyle w:val="FootnoteReference"/>
          <w:rFonts w:ascii="Times New Roman" w:hAnsi="Times New Roman" w:cs="Times New Roman"/>
        </w:rPr>
        <w:footnoteRef/>
      </w:r>
      <w:r w:rsidRPr="006853C7">
        <w:rPr>
          <w:rFonts w:ascii="Times New Roman" w:hAnsi="Times New Roman" w:cs="Times New Roman"/>
        </w:rPr>
        <w:t xml:space="preserve"> </w:t>
      </w:r>
      <w:proofErr w:type="gramStart"/>
      <w:r w:rsidRPr="006853C7">
        <w:rPr>
          <w:rFonts w:ascii="Times New Roman" w:hAnsi="Times New Roman" w:cs="Times New Roman"/>
          <w:i/>
          <w:iCs/>
        </w:rPr>
        <w:t>Evans v. Stephens</w:t>
      </w:r>
      <w:r w:rsidRPr="006853C7">
        <w:rPr>
          <w:rFonts w:ascii="Times New Roman" w:hAnsi="Times New Roman" w:cs="Times New Roman"/>
        </w:rPr>
        <w:t>, 387 F. 3d 1220, 1224-26 (11</w:t>
      </w:r>
      <w:r>
        <w:rPr>
          <w:rFonts w:ascii="Times New Roman" w:hAnsi="Times New Roman" w:cs="Times New Roman"/>
          <w:vertAlign w:val="superscript"/>
        </w:rPr>
        <w:t>th</w:t>
      </w:r>
      <w:r w:rsidRPr="006853C7">
        <w:rPr>
          <w:rFonts w:ascii="Times New Roman" w:hAnsi="Times New Roman" w:cs="Times New Roman"/>
        </w:rPr>
        <w:t xml:space="preserve"> Cir. 2004).</w:t>
      </w:r>
      <w:proofErr w:type="gramEnd"/>
      <w:r w:rsidRPr="006853C7">
        <w:rPr>
          <w:rFonts w:ascii="Times New Roman" w:hAnsi="Times New Roman" w:cs="Times New Roman"/>
        </w:rPr>
        <w:t xml:space="preserve"> </w:t>
      </w:r>
      <w:proofErr w:type="gramStart"/>
      <w:r w:rsidRPr="006853C7">
        <w:rPr>
          <w:rFonts w:ascii="Times New Roman" w:hAnsi="Times New Roman" w:cs="Times New Roman"/>
        </w:rPr>
        <w:t>cert</w:t>
      </w:r>
      <w:proofErr w:type="gramEnd"/>
      <w:r w:rsidRPr="006853C7">
        <w:rPr>
          <w:rFonts w:ascii="Times New Roman" w:hAnsi="Times New Roman" w:cs="Times New Roman"/>
        </w:rPr>
        <w:t>. denied 544 U.S. 942 (2005).</w:t>
      </w:r>
    </w:p>
  </w:footnote>
  <w:footnote w:id="123">
    <w:p w:rsidR="003A3CFC" w:rsidRDefault="003A3CFC">
      <w:pPr>
        <w:pStyle w:val="FootnoteText"/>
      </w:pPr>
      <w:r>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Id. 544 U.S. at 942-43.</w:t>
      </w:r>
      <w:proofErr w:type="gramEnd"/>
      <w:r>
        <w:rPr>
          <w:rFonts w:ascii="Times New Roman" w:hAnsi="Times New Roman" w:cs="Times New Roman"/>
        </w:rPr>
        <w:t xml:space="preserve"> See also Michael B. Rappaport, “The Original Meaning of the Recess Appointments Clause,” 52 UCLA L. Rev 1487 (2005)(arguing that the Constitution permits recess appointments only during an intercession recess).</w:t>
      </w:r>
    </w:p>
  </w:footnote>
  <w:footnote w:id="124">
    <w:p w:rsidR="003A3CFC" w:rsidRDefault="003A3CFC">
      <w:pPr>
        <w:pStyle w:val="FootnoteText"/>
      </w:pPr>
      <w:r w:rsidRPr="00DF0FC2">
        <w:rPr>
          <w:rStyle w:val="FootnoteReference"/>
          <w:rFonts w:ascii="Times New Roman" w:hAnsi="Times New Roman" w:cs="Times New Roman"/>
        </w:rPr>
        <w:footnoteRef/>
      </w:r>
      <w:r w:rsidRPr="00256D66">
        <w:rPr>
          <w:rFonts w:ascii="Times New Roman" w:hAnsi="Times New Roman" w:cs="Times New Roman"/>
          <w:u w:val="single"/>
        </w:rPr>
        <w:t xml:space="preserve"> </w:t>
      </w:r>
      <w:proofErr w:type="gramStart"/>
      <w:r w:rsidRPr="00256D66">
        <w:rPr>
          <w:rFonts w:ascii="Times New Roman" w:hAnsi="Times New Roman" w:cs="Times New Roman"/>
          <w:i/>
          <w:iCs/>
        </w:rPr>
        <w:t>Buckley v. Valeo</w:t>
      </w:r>
      <w:r w:rsidRPr="00256D66">
        <w:rPr>
          <w:rFonts w:ascii="Times New Roman" w:hAnsi="Times New Roman" w:cs="Times New Roman"/>
        </w:rPr>
        <w:t>.</w:t>
      </w:r>
      <w:proofErr w:type="gramEnd"/>
      <w:r w:rsidRPr="00256D66">
        <w:rPr>
          <w:rFonts w:ascii="Times New Roman" w:hAnsi="Times New Roman" w:cs="Times New Roman"/>
        </w:rPr>
        <w:t xml:space="preserve"> 424 U.S. 1 (1976)(Congress may not appoint superior officers of the United States); </w:t>
      </w:r>
      <w:r w:rsidRPr="00256D66">
        <w:rPr>
          <w:rFonts w:ascii="Times New Roman" w:hAnsi="Times New Roman" w:cs="Times New Roman"/>
          <w:i/>
          <w:iCs/>
        </w:rPr>
        <w:t>INS v. Chadha</w:t>
      </w:r>
      <w:r w:rsidRPr="00256D66">
        <w:rPr>
          <w:rFonts w:ascii="Times New Roman" w:hAnsi="Times New Roman" w:cs="Times New Roman"/>
        </w:rPr>
        <w:t xml:space="preserve">, 462 U.S. 919 (1983)(Congress may not control execution of the laws except through Article I procedures); Bowsher v. Synar, 478 U.S. 714 (1986)(Congress may not exercise removal power over officers performing executive functions); </w:t>
      </w:r>
      <w:r w:rsidRPr="00256D66">
        <w:rPr>
          <w:rFonts w:ascii="Times New Roman" w:hAnsi="Times New Roman" w:cs="Times New Roman"/>
          <w:i/>
          <w:iCs/>
        </w:rPr>
        <w:t>Metropolitan Airports Authority v. Citizens for Abatement of Aircraft Noise, Inc</w:t>
      </w:r>
      <w:r w:rsidRPr="00256D66">
        <w:rPr>
          <w:rFonts w:ascii="Times New Roman" w:hAnsi="Times New Roman" w:cs="Times New Roman"/>
        </w:rPr>
        <w:t xml:space="preserve">., 501 U.S. 252 (1991)(Congress may not maintain control of an executive entity by means of a review entity it has appointed); </w:t>
      </w:r>
      <w:r w:rsidRPr="00256D66">
        <w:rPr>
          <w:rFonts w:ascii="Times New Roman" w:hAnsi="Times New Roman" w:cs="Times New Roman"/>
          <w:i/>
          <w:iCs/>
        </w:rPr>
        <w:t>Clinton v. City of New York</w:t>
      </w:r>
      <w:r w:rsidRPr="00256D66">
        <w:rPr>
          <w:rFonts w:ascii="Times New Roman" w:hAnsi="Times New Roman" w:cs="Times New Roman"/>
        </w:rPr>
        <w:t xml:space="preserve">, 524 U.S. 417 (1998)(Congress cannot delegate, and the President cannot exercise, the power to repeal a provision of law).   </w:t>
      </w:r>
    </w:p>
  </w:footnote>
  <w:footnote w:id="125">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i/>
          <w:iCs/>
        </w:rPr>
        <w:t>Mistretta v. United States</w:t>
      </w:r>
      <w:r w:rsidRPr="00256D66">
        <w:rPr>
          <w:rFonts w:ascii="Times New Roman" w:hAnsi="Times New Roman" w:cs="Times New Roman"/>
        </w:rPr>
        <w:t>, 488 U.S. 361, 382 (1989).</w:t>
      </w:r>
      <w:proofErr w:type="gramEnd"/>
    </w:p>
  </w:footnote>
  <w:footnote w:id="126">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256D66">
        <w:rPr>
          <w:rFonts w:ascii="Times New Roman" w:hAnsi="Times New Roman" w:cs="Times New Roman"/>
          <w:i/>
          <w:iCs/>
        </w:rPr>
        <w:t>Clinton v. New York</w:t>
      </w:r>
      <w:r w:rsidRPr="00256D66">
        <w:rPr>
          <w:rFonts w:ascii="Times New Roman" w:hAnsi="Times New Roman" w:cs="Times New Roman"/>
        </w:rPr>
        <w:t>, U</w:t>
      </w:r>
      <w:r>
        <w:rPr>
          <w:rFonts w:ascii="Times New Roman" w:hAnsi="Times New Roman" w:cs="Times New Roman"/>
        </w:rPr>
        <w:t>.</w:t>
      </w:r>
      <w:r w:rsidRPr="00256D66">
        <w:rPr>
          <w:rFonts w:ascii="Times New Roman" w:hAnsi="Times New Roman" w:cs="Times New Roman"/>
        </w:rPr>
        <w:t>S. at 449-50.</w:t>
      </w:r>
    </w:p>
  </w:footnote>
  <w:footnote w:id="127">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i/>
          <w:iCs/>
        </w:rPr>
        <w:t>Chadha</w:t>
      </w:r>
      <w:r w:rsidRPr="00256D66">
        <w:rPr>
          <w:rFonts w:ascii="Times New Roman" w:hAnsi="Times New Roman" w:cs="Times New Roman"/>
        </w:rPr>
        <w:t>, 462 U.S. at 955</w:t>
      </w:r>
      <w:r>
        <w:t>.</w:t>
      </w:r>
      <w:proofErr w:type="gramEnd"/>
    </w:p>
  </w:footnote>
  <w:footnote w:id="128">
    <w:p w:rsidR="003A3CFC" w:rsidRPr="004A377B" w:rsidRDefault="003A3CFC">
      <w:pPr>
        <w:pStyle w:val="FootnoteText"/>
        <w:rPr>
          <w:rFonts w:ascii="Times New Roman" w:hAnsi="Times New Roman" w:cs="Times New Roman"/>
        </w:rPr>
      </w:pPr>
      <w:r w:rsidRPr="004A377B">
        <w:rPr>
          <w:rStyle w:val="FootnoteReference"/>
          <w:rFonts w:ascii="Times New Roman" w:hAnsi="Times New Roman" w:cs="Times New Roman"/>
        </w:rPr>
        <w:footnoteRef/>
      </w:r>
      <w:r w:rsidRPr="004A377B">
        <w:rPr>
          <w:rFonts w:ascii="Times New Roman" w:hAnsi="Times New Roman" w:cs="Times New Roman"/>
        </w:rPr>
        <w:t xml:space="preserve"> See </w:t>
      </w:r>
      <w:r w:rsidRPr="004A377B">
        <w:rPr>
          <w:rFonts w:ascii="Times New Roman" w:hAnsi="Times New Roman" w:cs="Times New Roman"/>
          <w:i/>
        </w:rPr>
        <w:t>Ryder v. U</w:t>
      </w:r>
      <w:proofErr w:type="gramStart"/>
      <w:r w:rsidRPr="004A377B">
        <w:rPr>
          <w:rFonts w:ascii="Times New Roman" w:hAnsi="Times New Roman" w:cs="Times New Roman"/>
          <w:i/>
        </w:rPr>
        <w:t>,S</w:t>
      </w:r>
      <w:proofErr w:type="gramEnd"/>
      <w:r w:rsidRPr="004A377B">
        <w:rPr>
          <w:rFonts w:ascii="Times New Roman" w:hAnsi="Times New Roman" w:cs="Times New Roman"/>
          <w:i/>
        </w:rPr>
        <w:t xml:space="preserve">,  </w:t>
      </w:r>
      <w:r w:rsidRPr="004A377B">
        <w:rPr>
          <w:rFonts w:ascii="Times New Roman" w:hAnsi="Times New Roman" w:cs="Times New Roman"/>
        </w:rPr>
        <w:t xml:space="preserve">515 U.S. 177 (1995) and cases cited </w:t>
      </w:r>
      <w:r w:rsidRPr="004A377B">
        <w:rPr>
          <w:rFonts w:ascii="Times New Roman" w:hAnsi="Times New Roman" w:cs="Times New Roman"/>
          <w:i/>
        </w:rPr>
        <w:t xml:space="preserve">infra </w:t>
      </w:r>
      <w:r w:rsidRPr="004A377B">
        <w:rPr>
          <w:rFonts w:ascii="Times New Roman" w:hAnsi="Times New Roman" w:cs="Times New Roman"/>
        </w:rPr>
        <w:t>at note 8</w:t>
      </w:r>
      <w:r>
        <w:rPr>
          <w:rFonts w:ascii="Times New Roman" w:hAnsi="Times New Roman" w:cs="Times New Roman"/>
        </w:rPr>
        <w:t>2</w:t>
      </w:r>
      <w:r w:rsidRPr="004A377B">
        <w:rPr>
          <w:rFonts w:ascii="Times New Roman" w:hAnsi="Times New Roman" w:cs="Times New Roman"/>
        </w:rPr>
        <w:t xml:space="preserve">. However, the courts have rejected the standing of members of Congress to bring actions based on violation of the Appointments Clause, holding that their remedy is through Congressional, rather than judicial action. See, e.g., </w:t>
      </w:r>
      <w:r w:rsidRPr="004A377B">
        <w:rPr>
          <w:rFonts w:ascii="Times New Roman" w:hAnsi="Times New Roman" w:cs="Times New Roman"/>
          <w:i/>
        </w:rPr>
        <w:t xml:space="preserve">Raines v. Byrd, </w:t>
      </w:r>
      <w:r w:rsidRPr="004A377B">
        <w:rPr>
          <w:rFonts w:ascii="Times New Roman" w:hAnsi="Times New Roman" w:cs="Times New Roman"/>
        </w:rPr>
        <w:t xml:space="preserve">521 U.S. 811 (1997).    </w:t>
      </w:r>
    </w:p>
  </w:footnote>
  <w:footnote w:id="129">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r w:rsidRPr="00256D66">
        <w:rPr>
          <w:rFonts w:ascii="Times New Roman" w:hAnsi="Times New Roman" w:cs="Times New Roman"/>
          <w:i/>
          <w:iCs/>
        </w:rPr>
        <w:t xml:space="preserve">Landry </w:t>
      </w:r>
      <w:r>
        <w:rPr>
          <w:rFonts w:ascii="Times New Roman" w:hAnsi="Times New Roman" w:cs="Times New Roman"/>
          <w:i/>
          <w:iCs/>
        </w:rPr>
        <w:t>v.</w:t>
      </w:r>
      <w:r w:rsidRPr="00256D66">
        <w:rPr>
          <w:rFonts w:ascii="Times New Roman" w:hAnsi="Times New Roman" w:cs="Times New Roman"/>
          <w:i/>
          <w:iCs/>
        </w:rPr>
        <w:t xml:space="preserve"> FDIC</w:t>
      </w:r>
      <w:r w:rsidRPr="00256D66">
        <w:rPr>
          <w:rFonts w:ascii="Times New Roman" w:hAnsi="Times New Roman" w:cs="Times New Roman"/>
        </w:rPr>
        <w:t xml:space="preserve">, 204 F. 3d 1125, 1130-1132 (D.C. Cir. 2000), cert denied 121 S.Ct. 298 (2000); See also, </w:t>
      </w:r>
      <w:r w:rsidRPr="00256D66">
        <w:rPr>
          <w:rFonts w:ascii="Times New Roman" w:hAnsi="Times New Roman" w:cs="Times New Roman"/>
          <w:i/>
          <w:iCs/>
        </w:rPr>
        <w:t>Olympic Savings &amp; Loan v. Director, OTS</w:t>
      </w:r>
      <w:r w:rsidRPr="00256D66">
        <w:rPr>
          <w:rFonts w:ascii="Times New Roman" w:hAnsi="Times New Roman" w:cs="Times New Roman"/>
        </w:rPr>
        <w:t xml:space="preserve">, 732 F. Supp. 1183, 1188-90 (D.D.C. 1990); </w:t>
      </w:r>
      <w:r w:rsidRPr="00256D66">
        <w:rPr>
          <w:rFonts w:ascii="Times New Roman" w:hAnsi="Times New Roman" w:cs="Times New Roman"/>
          <w:i/>
          <w:iCs/>
        </w:rPr>
        <w:t>Andrade v Lauer</w:t>
      </w:r>
      <w:r w:rsidRPr="00256D66">
        <w:rPr>
          <w:rFonts w:ascii="Times New Roman" w:hAnsi="Times New Roman" w:cs="Times New Roman"/>
        </w:rPr>
        <w:t xml:space="preserve">, 729 F. 25 1475, 1495 (D.C. Cir. 1984); </w:t>
      </w:r>
      <w:r w:rsidRPr="00256D66">
        <w:rPr>
          <w:rFonts w:ascii="Times New Roman" w:hAnsi="Times New Roman" w:cs="Times New Roman"/>
          <w:i/>
          <w:iCs/>
        </w:rPr>
        <w:t>Pa. Dept. of Welfare v. United States</w:t>
      </w:r>
      <w:r w:rsidRPr="00256D66">
        <w:rPr>
          <w:rFonts w:ascii="Times New Roman" w:hAnsi="Times New Roman" w:cs="Times New Roman"/>
        </w:rPr>
        <w:t xml:space="preserve">, 124 F. Supp. 2d 917, 920-24 (D.C. W.D. Pa. 2000); </w:t>
      </w:r>
      <w:r w:rsidRPr="00256D66">
        <w:rPr>
          <w:rFonts w:ascii="Times New Roman" w:hAnsi="Times New Roman" w:cs="Times New Roman"/>
          <w:i/>
          <w:iCs/>
        </w:rPr>
        <w:t>Williams v. Phillips</w:t>
      </w:r>
      <w:r w:rsidRPr="00256D66">
        <w:rPr>
          <w:rFonts w:ascii="Times New Roman" w:hAnsi="Times New Roman" w:cs="Times New Roman"/>
        </w:rPr>
        <w:t>, 360 F. Supp. 1362, (D.D.C</w:t>
      </w:r>
      <w:r>
        <w:rPr>
          <w:rFonts w:ascii="Times New Roman" w:hAnsi="Times New Roman" w:cs="Times New Roman"/>
        </w:rPr>
        <w:t>.</w:t>
      </w:r>
      <w:r w:rsidRPr="00256D66">
        <w:rPr>
          <w:rFonts w:ascii="Times New Roman" w:hAnsi="Times New Roman" w:cs="Times New Roman"/>
        </w:rPr>
        <w:t xml:space="preserve">), stay denied, </w:t>
      </w:r>
      <w:proofErr w:type="gramStart"/>
      <w:r w:rsidRPr="00256D66">
        <w:rPr>
          <w:rFonts w:ascii="Times New Roman" w:hAnsi="Times New Roman" w:cs="Times New Roman"/>
        </w:rPr>
        <w:t>482  F</w:t>
      </w:r>
      <w:proofErr w:type="gramEnd"/>
      <w:r w:rsidRPr="00256D66">
        <w:rPr>
          <w:rFonts w:ascii="Times New Roman" w:hAnsi="Times New Roman" w:cs="Times New Roman"/>
        </w:rPr>
        <w:t>. 2d.669 (D.C. Cir. 1973).</w:t>
      </w:r>
    </w:p>
  </w:footnote>
  <w:footnote w:id="130">
    <w:p w:rsidR="003A3CFC" w:rsidRDefault="003A3CFC">
      <w:pPr>
        <w:pStyle w:val="FootnoteText"/>
      </w:pPr>
      <w:r>
        <w:rPr>
          <w:rStyle w:val="FootnoteReference"/>
        </w:rPr>
        <w:footnoteRef/>
      </w:r>
      <w:r>
        <w:t xml:space="preserve"> </w:t>
      </w:r>
      <w:r w:rsidRPr="00FE0235">
        <w:rPr>
          <w:rFonts w:ascii="Times New Roman" w:hAnsi="Times New Roman" w:cs="Times New Roman"/>
        </w:rPr>
        <w:t>The de</w:t>
      </w:r>
      <w:r>
        <w:rPr>
          <w:rFonts w:ascii="Times New Roman" w:hAnsi="Times New Roman" w:cs="Times New Roman"/>
        </w:rPr>
        <w:t xml:space="preserve"> </w:t>
      </w:r>
      <w:r w:rsidRPr="00FE0235">
        <w:rPr>
          <w:rFonts w:ascii="Times New Roman" w:hAnsi="Times New Roman" w:cs="Times New Roman"/>
        </w:rPr>
        <w:t>facto doctrine protects actions of governmental officials acting under “color” of lawful authority.  It is designed to prevent disruption in settled actions that could result from a determination that an official has been improperly appointed.</w:t>
      </w:r>
    </w:p>
  </w:footnote>
  <w:footnote w:id="131">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i/>
          <w:iCs/>
        </w:rPr>
        <w:t>Ryder v. United States</w:t>
      </w:r>
      <w:r w:rsidRPr="00256D66">
        <w:rPr>
          <w:rFonts w:ascii="Times New Roman" w:hAnsi="Times New Roman" w:cs="Times New Roman"/>
        </w:rPr>
        <w:t>, 515 U.S. 177 (1995).</w:t>
      </w:r>
      <w:proofErr w:type="gramEnd"/>
    </w:p>
  </w:footnote>
  <w:footnote w:id="132">
    <w:p w:rsidR="003A3CFC" w:rsidRDefault="003A3CFC">
      <w:pPr>
        <w:pStyle w:val="FootnoteText"/>
      </w:pPr>
      <w:r w:rsidRPr="00256D66">
        <w:rPr>
          <w:rStyle w:val="FootnoteReference"/>
          <w:rFonts w:ascii="Times New Roman" w:hAnsi="Times New Roman" w:cs="Times New Roman"/>
        </w:rPr>
        <w:footnoteRef/>
      </w:r>
      <w:r w:rsidRPr="00256D66">
        <w:rPr>
          <w:rFonts w:ascii="Times New Roman" w:hAnsi="Times New Roman" w:cs="Times New Roman"/>
        </w:rPr>
        <w:t xml:space="preserve"> </w:t>
      </w:r>
      <w:proofErr w:type="gramStart"/>
      <w:r w:rsidRPr="00256D66">
        <w:rPr>
          <w:rFonts w:ascii="Times New Roman" w:hAnsi="Times New Roman" w:cs="Times New Roman"/>
        </w:rPr>
        <w:t>424 U.S. 1, 142-43 (1976).</w:t>
      </w:r>
      <w:proofErr w:type="gramEnd"/>
    </w:p>
  </w:footnote>
  <w:footnote w:id="133">
    <w:p w:rsidR="003A3CFC" w:rsidRDefault="003A3CFC">
      <w:pPr>
        <w:pStyle w:val="FootnoteText"/>
      </w:pPr>
      <w:r w:rsidRPr="008B2DDB">
        <w:rPr>
          <w:rStyle w:val="FootnoteReference"/>
          <w:rFonts w:ascii="Times New Roman" w:hAnsi="Times New Roman" w:cs="Times New Roman"/>
        </w:rPr>
        <w:footnoteRef/>
      </w:r>
      <w:r w:rsidRPr="008B2DDB">
        <w:rPr>
          <w:rFonts w:ascii="Times New Roman" w:hAnsi="Times New Roman" w:cs="Times New Roman"/>
        </w:rPr>
        <w:t xml:space="preserve"> M. Trevor Lyons, “Putting the Genie Back in the Bottle: What Happens in the Wake of the Decision in New Process Steel v. NLRB,” 32 New Jersey Labor and Employment L. Qtly. </w:t>
      </w:r>
      <w:proofErr w:type="gramStart"/>
      <w:r w:rsidRPr="008B2DDB">
        <w:rPr>
          <w:rFonts w:ascii="Times New Roman" w:hAnsi="Times New Roman" w:cs="Times New Roman"/>
        </w:rPr>
        <w:t xml:space="preserve">14 </w:t>
      </w:r>
      <w:r>
        <w:rPr>
          <w:rFonts w:ascii="Times New Roman" w:hAnsi="Times New Roman" w:cs="Times New Roman"/>
        </w:rPr>
        <w:t xml:space="preserve"> </w:t>
      </w:r>
      <w:r w:rsidRPr="008B2DDB">
        <w:rPr>
          <w:rFonts w:ascii="Times New Roman" w:hAnsi="Times New Roman" w:cs="Times New Roman"/>
        </w:rPr>
        <w:t>(2011).</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96A760"/>
    <w:lvl w:ilvl="0">
      <w:start w:val="1"/>
      <w:numFmt w:val="decimal"/>
      <w:lvlText w:val="%1."/>
      <w:lvlJc w:val="left"/>
      <w:pPr>
        <w:tabs>
          <w:tab w:val="num" w:pos="1800"/>
        </w:tabs>
        <w:ind w:left="1800" w:hanging="360"/>
      </w:pPr>
    </w:lvl>
  </w:abstractNum>
  <w:abstractNum w:abstractNumId="1">
    <w:nsid w:val="FFFFFF7D"/>
    <w:multiLevelType w:val="singleLevel"/>
    <w:tmpl w:val="99D2A0DE"/>
    <w:lvl w:ilvl="0">
      <w:start w:val="1"/>
      <w:numFmt w:val="decimal"/>
      <w:lvlText w:val="%1."/>
      <w:lvlJc w:val="left"/>
      <w:pPr>
        <w:tabs>
          <w:tab w:val="num" w:pos="1440"/>
        </w:tabs>
        <w:ind w:left="1440" w:hanging="360"/>
      </w:pPr>
    </w:lvl>
  </w:abstractNum>
  <w:abstractNum w:abstractNumId="2">
    <w:nsid w:val="FFFFFF7E"/>
    <w:multiLevelType w:val="singleLevel"/>
    <w:tmpl w:val="20407730"/>
    <w:lvl w:ilvl="0">
      <w:start w:val="1"/>
      <w:numFmt w:val="decimal"/>
      <w:lvlText w:val="%1."/>
      <w:lvlJc w:val="left"/>
      <w:pPr>
        <w:tabs>
          <w:tab w:val="num" w:pos="1080"/>
        </w:tabs>
        <w:ind w:left="1080" w:hanging="360"/>
      </w:pPr>
    </w:lvl>
  </w:abstractNum>
  <w:abstractNum w:abstractNumId="3">
    <w:nsid w:val="FFFFFF7F"/>
    <w:multiLevelType w:val="singleLevel"/>
    <w:tmpl w:val="770209D8"/>
    <w:lvl w:ilvl="0">
      <w:start w:val="1"/>
      <w:numFmt w:val="decimal"/>
      <w:lvlText w:val="%1."/>
      <w:lvlJc w:val="left"/>
      <w:pPr>
        <w:tabs>
          <w:tab w:val="num" w:pos="720"/>
        </w:tabs>
        <w:ind w:left="720" w:hanging="360"/>
      </w:pPr>
    </w:lvl>
  </w:abstractNum>
  <w:abstractNum w:abstractNumId="4">
    <w:nsid w:val="FFFFFF80"/>
    <w:multiLevelType w:val="singleLevel"/>
    <w:tmpl w:val="6FB4E50C"/>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7700AAF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82FBC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E8142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624217C4"/>
    <w:lvl w:ilvl="0">
      <w:start w:val="1"/>
      <w:numFmt w:val="decimal"/>
      <w:lvlText w:val="%1."/>
      <w:lvlJc w:val="left"/>
      <w:pPr>
        <w:tabs>
          <w:tab w:val="num" w:pos="360"/>
        </w:tabs>
        <w:ind w:left="360" w:hanging="360"/>
      </w:pPr>
    </w:lvl>
  </w:abstractNum>
  <w:abstractNum w:abstractNumId="9">
    <w:nsid w:val="FFFFFF89"/>
    <w:multiLevelType w:val="singleLevel"/>
    <w:tmpl w:val="D06E94E8"/>
    <w:lvl w:ilvl="0">
      <w:start w:val="1"/>
      <w:numFmt w:val="bullet"/>
      <w:lvlText w:val=""/>
      <w:lvlJc w:val="left"/>
      <w:pPr>
        <w:tabs>
          <w:tab w:val="num" w:pos="360"/>
        </w:tabs>
        <w:ind w:left="360" w:hanging="360"/>
      </w:pPr>
      <w:rPr>
        <w:rFonts w:ascii="Symbol" w:hAnsi="Symbol" w:cs="Symbol" w:hint="default"/>
      </w:rPr>
    </w:lvl>
  </w:abstractNum>
  <w:abstractNum w:abstractNumId="10">
    <w:nsid w:val="02CF72EF"/>
    <w:multiLevelType w:val="hybridMultilevel"/>
    <w:tmpl w:val="3CA87BEC"/>
    <w:lvl w:ilvl="0" w:tplc="F6AE2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3C5725"/>
    <w:multiLevelType w:val="hybridMultilevel"/>
    <w:tmpl w:val="8178427E"/>
    <w:lvl w:ilvl="0" w:tplc="79A2A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E214A3"/>
    <w:multiLevelType w:val="hybridMultilevel"/>
    <w:tmpl w:val="64C2F826"/>
    <w:lvl w:ilvl="0" w:tplc="53F09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8B3B0D"/>
    <w:multiLevelType w:val="hybridMultilevel"/>
    <w:tmpl w:val="06EABF20"/>
    <w:lvl w:ilvl="0" w:tplc="2C8E9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713E52"/>
    <w:multiLevelType w:val="hybridMultilevel"/>
    <w:tmpl w:val="EDCA112A"/>
    <w:lvl w:ilvl="0" w:tplc="04385C3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630AC7"/>
    <w:multiLevelType w:val="hybridMultilevel"/>
    <w:tmpl w:val="C37E6714"/>
    <w:lvl w:ilvl="0" w:tplc="3D0A14EA">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C11849"/>
    <w:multiLevelType w:val="hybridMultilevel"/>
    <w:tmpl w:val="E9E2476A"/>
    <w:lvl w:ilvl="0" w:tplc="F99452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1F6FB9"/>
    <w:multiLevelType w:val="hybridMultilevel"/>
    <w:tmpl w:val="6590AD2C"/>
    <w:lvl w:ilvl="0" w:tplc="B382167E">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D25D95"/>
    <w:multiLevelType w:val="hybridMultilevel"/>
    <w:tmpl w:val="DAAA46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4"/>
  </w:num>
  <w:num w:numId="15">
    <w:abstractNumId w:val="12"/>
  </w:num>
  <w:num w:numId="16">
    <w:abstractNumId w:val="16"/>
  </w:num>
  <w:num w:numId="17">
    <w:abstractNumId w:val="1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DF"/>
    <w:rsid w:val="00000C50"/>
    <w:rsid w:val="000015C6"/>
    <w:rsid w:val="00002EAA"/>
    <w:rsid w:val="00003C8C"/>
    <w:rsid w:val="0000476D"/>
    <w:rsid w:val="00007F27"/>
    <w:rsid w:val="00013052"/>
    <w:rsid w:val="00013450"/>
    <w:rsid w:val="000159AC"/>
    <w:rsid w:val="00016CAD"/>
    <w:rsid w:val="00017B11"/>
    <w:rsid w:val="000216C1"/>
    <w:rsid w:val="00027E84"/>
    <w:rsid w:val="00030211"/>
    <w:rsid w:val="000337D1"/>
    <w:rsid w:val="00044057"/>
    <w:rsid w:val="00050564"/>
    <w:rsid w:val="0005076D"/>
    <w:rsid w:val="000533F5"/>
    <w:rsid w:val="000542EA"/>
    <w:rsid w:val="00056157"/>
    <w:rsid w:val="0006005F"/>
    <w:rsid w:val="000602E3"/>
    <w:rsid w:val="00064D6A"/>
    <w:rsid w:val="00066F42"/>
    <w:rsid w:val="00071807"/>
    <w:rsid w:val="000739F4"/>
    <w:rsid w:val="00077904"/>
    <w:rsid w:val="000809A3"/>
    <w:rsid w:val="00080C49"/>
    <w:rsid w:val="00081523"/>
    <w:rsid w:val="00082618"/>
    <w:rsid w:val="00082E77"/>
    <w:rsid w:val="00083DF4"/>
    <w:rsid w:val="000841DA"/>
    <w:rsid w:val="00085215"/>
    <w:rsid w:val="00087C2F"/>
    <w:rsid w:val="00090337"/>
    <w:rsid w:val="00093D5C"/>
    <w:rsid w:val="00093D7F"/>
    <w:rsid w:val="000961D8"/>
    <w:rsid w:val="000A06F7"/>
    <w:rsid w:val="000A1F72"/>
    <w:rsid w:val="000A428D"/>
    <w:rsid w:val="000A713B"/>
    <w:rsid w:val="000B07E7"/>
    <w:rsid w:val="000B3105"/>
    <w:rsid w:val="000B5D72"/>
    <w:rsid w:val="000B5E04"/>
    <w:rsid w:val="000B7A33"/>
    <w:rsid w:val="000B7E4C"/>
    <w:rsid w:val="000C1E83"/>
    <w:rsid w:val="000C390A"/>
    <w:rsid w:val="000C4097"/>
    <w:rsid w:val="000C6392"/>
    <w:rsid w:val="000D0CCD"/>
    <w:rsid w:val="000D4607"/>
    <w:rsid w:val="000D4B1E"/>
    <w:rsid w:val="000D5104"/>
    <w:rsid w:val="000D60B5"/>
    <w:rsid w:val="000E4BD2"/>
    <w:rsid w:val="000E5859"/>
    <w:rsid w:val="000E5ABF"/>
    <w:rsid w:val="000E5EA3"/>
    <w:rsid w:val="000E6A19"/>
    <w:rsid w:val="000E71FA"/>
    <w:rsid w:val="000E73D3"/>
    <w:rsid w:val="000E759C"/>
    <w:rsid w:val="000F0DE6"/>
    <w:rsid w:val="000F1EEE"/>
    <w:rsid w:val="000F2886"/>
    <w:rsid w:val="000F40A7"/>
    <w:rsid w:val="000F4734"/>
    <w:rsid w:val="000F7CE1"/>
    <w:rsid w:val="001007C6"/>
    <w:rsid w:val="00102824"/>
    <w:rsid w:val="00103F30"/>
    <w:rsid w:val="00105070"/>
    <w:rsid w:val="0010653F"/>
    <w:rsid w:val="00113AC5"/>
    <w:rsid w:val="00115687"/>
    <w:rsid w:val="001156C2"/>
    <w:rsid w:val="00116836"/>
    <w:rsid w:val="00117FFC"/>
    <w:rsid w:val="0012056B"/>
    <w:rsid w:val="00121AB6"/>
    <w:rsid w:val="00123733"/>
    <w:rsid w:val="0012569A"/>
    <w:rsid w:val="00130739"/>
    <w:rsid w:val="00131C6C"/>
    <w:rsid w:val="001332DD"/>
    <w:rsid w:val="001333A4"/>
    <w:rsid w:val="00134034"/>
    <w:rsid w:val="00143379"/>
    <w:rsid w:val="00147698"/>
    <w:rsid w:val="00151C14"/>
    <w:rsid w:val="001521F6"/>
    <w:rsid w:val="00152D15"/>
    <w:rsid w:val="00156046"/>
    <w:rsid w:val="001622EC"/>
    <w:rsid w:val="0016454B"/>
    <w:rsid w:val="00166116"/>
    <w:rsid w:val="00176224"/>
    <w:rsid w:val="00176364"/>
    <w:rsid w:val="00177F72"/>
    <w:rsid w:val="00181443"/>
    <w:rsid w:val="00184B3D"/>
    <w:rsid w:val="0019165B"/>
    <w:rsid w:val="00193A5C"/>
    <w:rsid w:val="00195CFA"/>
    <w:rsid w:val="00195F5F"/>
    <w:rsid w:val="00197DED"/>
    <w:rsid w:val="001A1DDD"/>
    <w:rsid w:val="001A31D8"/>
    <w:rsid w:val="001A4E3E"/>
    <w:rsid w:val="001A743F"/>
    <w:rsid w:val="001B68FD"/>
    <w:rsid w:val="001B7708"/>
    <w:rsid w:val="001C0DBA"/>
    <w:rsid w:val="001C2AB7"/>
    <w:rsid w:val="001C2E4F"/>
    <w:rsid w:val="001C44EA"/>
    <w:rsid w:val="001C519B"/>
    <w:rsid w:val="001D0B9B"/>
    <w:rsid w:val="001D113E"/>
    <w:rsid w:val="001D16D3"/>
    <w:rsid w:val="001D30A4"/>
    <w:rsid w:val="001D324D"/>
    <w:rsid w:val="001D33DC"/>
    <w:rsid w:val="001D6634"/>
    <w:rsid w:val="001D6726"/>
    <w:rsid w:val="001D7E2E"/>
    <w:rsid w:val="001E2190"/>
    <w:rsid w:val="001E3363"/>
    <w:rsid w:val="001E573D"/>
    <w:rsid w:val="001E67F5"/>
    <w:rsid w:val="001E7A87"/>
    <w:rsid w:val="001F04DE"/>
    <w:rsid w:val="001F2F3E"/>
    <w:rsid w:val="00200FBC"/>
    <w:rsid w:val="0020159D"/>
    <w:rsid w:val="00201794"/>
    <w:rsid w:val="0020182F"/>
    <w:rsid w:val="002057C2"/>
    <w:rsid w:val="00205FD6"/>
    <w:rsid w:val="00207EE1"/>
    <w:rsid w:val="00215907"/>
    <w:rsid w:val="0021603B"/>
    <w:rsid w:val="0021646C"/>
    <w:rsid w:val="00216CF9"/>
    <w:rsid w:val="002213D7"/>
    <w:rsid w:val="00223B21"/>
    <w:rsid w:val="0022760D"/>
    <w:rsid w:val="00233DBB"/>
    <w:rsid w:val="00237687"/>
    <w:rsid w:val="00243095"/>
    <w:rsid w:val="002430B3"/>
    <w:rsid w:val="00243B36"/>
    <w:rsid w:val="00243C04"/>
    <w:rsid w:val="002448BC"/>
    <w:rsid w:val="00247648"/>
    <w:rsid w:val="00247A44"/>
    <w:rsid w:val="00256D66"/>
    <w:rsid w:val="00261D9A"/>
    <w:rsid w:val="00262275"/>
    <w:rsid w:val="00262BB3"/>
    <w:rsid w:val="00262FDD"/>
    <w:rsid w:val="00264269"/>
    <w:rsid w:val="00270930"/>
    <w:rsid w:val="0027155E"/>
    <w:rsid w:val="00271D0B"/>
    <w:rsid w:val="0027263C"/>
    <w:rsid w:val="002740F8"/>
    <w:rsid w:val="00276C21"/>
    <w:rsid w:val="0027701B"/>
    <w:rsid w:val="00280E42"/>
    <w:rsid w:val="0028425C"/>
    <w:rsid w:val="00287F18"/>
    <w:rsid w:val="002928F5"/>
    <w:rsid w:val="00292A55"/>
    <w:rsid w:val="00293394"/>
    <w:rsid w:val="002940EC"/>
    <w:rsid w:val="002941AD"/>
    <w:rsid w:val="0029439F"/>
    <w:rsid w:val="002A121C"/>
    <w:rsid w:val="002A2ED8"/>
    <w:rsid w:val="002A6290"/>
    <w:rsid w:val="002A6940"/>
    <w:rsid w:val="002B2E49"/>
    <w:rsid w:val="002B3688"/>
    <w:rsid w:val="002B4004"/>
    <w:rsid w:val="002B5024"/>
    <w:rsid w:val="002B52FA"/>
    <w:rsid w:val="002B6E22"/>
    <w:rsid w:val="002C018F"/>
    <w:rsid w:val="002C0272"/>
    <w:rsid w:val="002C08C4"/>
    <w:rsid w:val="002C0DA4"/>
    <w:rsid w:val="002D01BE"/>
    <w:rsid w:val="002D01EB"/>
    <w:rsid w:val="002D2FDC"/>
    <w:rsid w:val="002D42B0"/>
    <w:rsid w:val="002D5170"/>
    <w:rsid w:val="002D69EE"/>
    <w:rsid w:val="002D7D97"/>
    <w:rsid w:val="002E012F"/>
    <w:rsid w:val="002E015F"/>
    <w:rsid w:val="002E0D4A"/>
    <w:rsid w:val="002E1AF1"/>
    <w:rsid w:val="002E266C"/>
    <w:rsid w:val="002E7B6D"/>
    <w:rsid w:val="002F1C4C"/>
    <w:rsid w:val="002F4BD6"/>
    <w:rsid w:val="002F6EBE"/>
    <w:rsid w:val="002F7311"/>
    <w:rsid w:val="003018C0"/>
    <w:rsid w:val="00304B9F"/>
    <w:rsid w:val="00305118"/>
    <w:rsid w:val="00305309"/>
    <w:rsid w:val="00307FDA"/>
    <w:rsid w:val="00312490"/>
    <w:rsid w:val="00313E1C"/>
    <w:rsid w:val="00315627"/>
    <w:rsid w:val="003177ED"/>
    <w:rsid w:val="00325DF5"/>
    <w:rsid w:val="003300C9"/>
    <w:rsid w:val="003316A8"/>
    <w:rsid w:val="003320C5"/>
    <w:rsid w:val="0033223A"/>
    <w:rsid w:val="0033550E"/>
    <w:rsid w:val="00335990"/>
    <w:rsid w:val="00335CF2"/>
    <w:rsid w:val="00340980"/>
    <w:rsid w:val="003410AC"/>
    <w:rsid w:val="003416C2"/>
    <w:rsid w:val="00346F1E"/>
    <w:rsid w:val="00347419"/>
    <w:rsid w:val="003475C8"/>
    <w:rsid w:val="00347977"/>
    <w:rsid w:val="00347A65"/>
    <w:rsid w:val="0035176A"/>
    <w:rsid w:val="00355190"/>
    <w:rsid w:val="0035693B"/>
    <w:rsid w:val="00357E22"/>
    <w:rsid w:val="00357FC3"/>
    <w:rsid w:val="00360260"/>
    <w:rsid w:val="0036069E"/>
    <w:rsid w:val="00362B02"/>
    <w:rsid w:val="00363865"/>
    <w:rsid w:val="003640A1"/>
    <w:rsid w:val="0036494F"/>
    <w:rsid w:val="00364BF0"/>
    <w:rsid w:val="00366828"/>
    <w:rsid w:val="00370F4E"/>
    <w:rsid w:val="00371748"/>
    <w:rsid w:val="003745CF"/>
    <w:rsid w:val="00374B16"/>
    <w:rsid w:val="00376368"/>
    <w:rsid w:val="0037705F"/>
    <w:rsid w:val="00381EA9"/>
    <w:rsid w:val="00385EB9"/>
    <w:rsid w:val="00387F9E"/>
    <w:rsid w:val="00391D11"/>
    <w:rsid w:val="00395B80"/>
    <w:rsid w:val="00396199"/>
    <w:rsid w:val="00397026"/>
    <w:rsid w:val="0039772B"/>
    <w:rsid w:val="003A182F"/>
    <w:rsid w:val="003A3320"/>
    <w:rsid w:val="003A3CFC"/>
    <w:rsid w:val="003A4DD8"/>
    <w:rsid w:val="003A717E"/>
    <w:rsid w:val="003B0D8E"/>
    <w:rsid w:val="003B22DF"/>
    <w:rsid w:val="003B4A7A"/>
    <w:rsid w:val="003B561F"/>
    <w:rsid w:val="003C0456"/>
    <w:rsid w:val="003C3C8E"/>
    <w:rsid w:val="003C4281"/>
    <w:rsid w:val="003C454C"/>
    <w:rsid w:val="003C48AA"/>
    <w:rsid w:val="003C54F3"/>
    <w:rsid w:val="003C5621"/>
    <w:rsid w:val="003C6B1A"/>
    <w:rsid w:val="003D381B"/>
    <w:rsid w:val="003E2BF8"/>
    <w:rsid w:val="003E52BE"/>
    <w:rsid w:val="003F2B91"/>
    <w:rsid w:val="003F36E0"/>
    <w:rsid w:val="003F3F07"/>
    <w:rsid w:val="003F4887"/>
    <w:rsid w:val="003F5F7E"/>
    <w:rsid w:val="003F6B3B"/>
    <w:rsid w:val="0040068B"/>
    <w:rsid w:val="004016BD"/>
    <w:rsid w:val="004017FF"/>
    <w:rsid w:val="004020A8"/>
    <w:rsid w:val="00403EDC"/>
    <w:rsid w:val="00405FC0"/>
    <w:rsid w:val="004070C6"/>
    <w:rsid w:val="0041018D"/>
    <w:rsid w:val="0041122D"/>
    <w:rsid w:val="004130ED"/>
    <w:rsid w:val="004140C1"/>
    <w:rsid w:val="00425AA1"/>
    <w:rsid w:val="00425E0B"/>
    <w:rsid w:val="00426F64"/>
    <w:rsid w:val="00427222"/>
    <w:rsid w:val="004322DA"/>
    <w:rsid w:val="00433F07"/>
    <w:rsid w:val="00435E8C"/>
    <w:rsid w:val="00440A31"/>
    <w:rsid w:val="00441488"/>
    <w:rsid w:val="00442AF6"/>
    <w:rsid w:val="00442F10"/>
    <w:rsid w:val="00447452"/>
    <w:rsid w:val="004507EA"/>
    <w:rsid w:val="004543F7"/>
    <w:rsid w:val="0045452A"/>
    <w:rsid w:val="00454B3E"/>
    <w:rsid w:val="00454E9D"/>
    <w:rsid w:val="0045549C"/>
    <w:rsid w:val="00455C95"/>
    <w:rsid w:val="00455E97"/>
    <w:rsid w:val="00460664"/>
    <w:rsid w:val="00460771"/>
    <w:rsid w:val="004617E2"/>
    <w:rsid w:val="004630C3"/>
    <w:rsid w:val="00463979"/>
    <w:rsid w:val="00464536"/>
    <w:rsid w:val="004655C1"/>
    <w:rsid w:val="004664A1"/>
    <w:rsid w:val="00470E3A"/>
    <w:rsid w:val="00473926"/>
    <w:rsid w:val="00473C1F"/>
    <w:rsid w:val="0047435A"/>
    <w:rsid w:val="00474A8D"/>
    <w:rsid w:val="00476A9F"/>
    <w:rsid w:val="00482A8A"/>
    <w:rsid w:val="00495024"/>
    <w:rsid w:val="00495324"/>
    <w:rsid w:val="00495335"/>
    <w:rsid w:val="00495932"/>
    <w:rsid w:val="00496BB3"/>
    <w:rsid w:val="004977B6"/>
    <w:rsid w:val="004A1AFB"/>
    <w:rsid w:val="004A377B"/>
    <w:rsid w:val="004A5821"/>
    <w:rsid w:val="004A798A"/>
    <w:rsid w:val="004B08ED"/>
    <w:rsid w:val="004B16B4"/>
    <w:rsid w:val="004B2E3E"/>
    <w:rsid w:val="004B5DE5"/>
    <w:rsid w:val="004B7CA0"/>
    <w:rsid w:val="004C002A"/>
    <w:rsid w:val="004C4261"/>
    <w:rsid w:val="004C51DD"/>
    <w:rsid w:val="004C6089"/>
    <w:rsid w:val="004C7AE1"/>
    <w:rsid w:val="004D1271"/>
    <w:rsid w:val="004D36A5"/>
    <w:rsid w:val="004D3A5B"/>
    <w:rsid w:val="004D496C"/>
    <w:rsid w:val="004D5DD5"/>
    <w:rsid w:val="004D64A2"/>
    <w:rsid w:val="004D7965"/>
    <w:rsid w:val="004F0A28"/>
    <w:rsid w:val="004F181A"/>
    <w:rsid w:val="004F3C3A"/>
    <w:rsid w:val="004F6D96"/>
    <w:rsid w:val="00502908"/>
    <w:rsid w:val="005128CD"/>
    <w:rsid w:val="00513E7E"/>
    <w:rsid w:val="00513E9C"/>
    <w:rsid w:val="00514BF6"/>
    <w:rsid w:val="00514ED7"/>
    <w:rsid w:val="00515123"/>
    <w:rsid w:val="005153A7"/>
    <w:rsid w:val="00516EC8"/>
    <w:rsid w:val="00517265"/>
    <w:rsid w:val="00521F7A"/>
    <w:rsid w:val="00522A3D"/>
    <w:rsid w:val="00531A4C"/>
    <w:rsid w:val="005333CE"/>
    <w:rsid w:val="005339BC"/>
    <w:rsid w:val="00533AFD"/>
    <w:rsid w:val="00533EB8"/>
    <w:rsid w:val="00535901"/>
    <w:rsid w:val="00536D10"/>
    <w:rsid w:val="0054184C"/>
    <w:rsid w:val="00542901"/>
    <w:rsid w:val="00543895"/>
    <w:rsid w:val="0054401F"/>
    <w:rsid w:val="00544E21"/>
    <w:rsid w:val="00545229"/>
    <w:rsid w:val="00547528"/>
    <w:rsid w:val="00552F93"/>
    <w:rsid w:val="005535D6"/>
    <w:rsid w:val="0055508F"/>
    <w:rsid w:val="00555B51"/>
    <w:rsid w:val="00565784"/>
    <w:rsid w:val="00565FC6"/>
    <w:rsid w:val="00566A6C"/>
    <w:rsid w:val="00575D36"/>
    <w:rsid w:val="005763B7"/>
    <w:rsid w:val="00577ABC"/>
    <w:rsid w:val="00577CDC"/>
    <w:rsid w:val="0058050B"/>
    <w:rsid w:val="00583632"/>
    <w:rsid w:val="00585961"/>
    <w:rsid w:val="0058712E"/>
    <w:rsid w:val="00590E64"/>
    <w:rsid w:val="005A18C3"/>
    <w:rsid w:val="005A28FF"/>
    <w:rsid w:val="005A4B45"/>
    <w:rsid w:val="005A4EF8"/>
    <w:rsid w:val="005A519E"/>
    <w:rsid w:val="005A61B9"/>
    <w:rsid w:val="005A6C54"/>
    <w:rsid w:val="005A790C"/>
    <w:rsid w:val="005B1767"/>
    <w:rsid w:val="005B2CFA"/>
    <w:rsid w:val="005B3078"/>
    <w:rsid w:val="005B3F59"/>
    <w:rsid w:val="005B414E"/>
    <w:rsid w:val="005C06BE"/>
    <w:rsid w:val="005C0D40"/>
    <w:rsid w:val="005C2AAC"/>
    <w:rsid w:val="005C2B73"/>
    <w:rsid w:val="005C4E4E"/>
    <w:rsid w:val="005C6564"/>
    <w:rsid w:val="005D07E5"/>
    <w:rsid w:val="005D2E8F"/>
    <w:rsid w:val="005D3BA7"/>
    <w:rsid w:val="005D705E"/>
    <w:rsid w:val="005D7B22"/>
    <w:rsid w:val="005E08F1"/>
    <w:rsid w:val="005E3843"/>
    <w:rsid w:val="005E4E03"/>
    <w:rsid w:val="005F0598"/>
    <w:rsid w:val="005F0892"/>
    <w:rsid w:val="005F0A59"/>
    <w:rsid w:val="005F107E"/>
    <w:rsid w:val="005F1BB2"/>
    <w:rsid w:val="005F50A9"/>
    <w:rsid w:val="005F74DE"/>
    <w:rsid w:val="005F7D58"/>
    <w:rsid w:val="00601FE8"/>
    <w:rsid w:val="006035AF"/>
    <w:rsid w:val="006042A7"/>
    <w:rsid w:val="00605618"/>
    <w:rsid w:val="00611A81"/>
    <w:rsid w:val="006150D1"/>
    <w:rsid w:val="00615794"/>
    <w:rsid w:val="00617845"/>
    <w:rsid w:val="00622D59"/>
    <w:rsid w:val="006245DB"/>
    <w:rsid w:val="00626611"/>
    <w:rsid w:val="0062782A"/>
    <w:rsid w:val="0063313A"/>
    <w:rsid w:val="00633275"/>
    <w:rsid w:val="0063446C"/>
    <w:rsid w:val="006402DD"/>
    <w:rsid w:val="00640860"/>
    <w:rsid w:val="00641992"/>
    <w:rsid w:val="00645317"/>
    <w:rsid w:val="0064557F"/>
    <w:rsid w:val="00645D20"/>
    <w:rsid w:val="006468FC"/>
    <w:rsid w:val="00651577"/>
    <w:rsid w:val="00651867"/>
    <w:rsid w:val="00651CD5"/>
    <w:rsid w:val="00656446"/>
    <w:rsid w:val="0066021F"/>
    <w:rsid w:val="00661F67"/>
    <w:rsid w:val="00663C64"/>
    <w:rsid w:val="006646C5"/>
    <w:rsid w:val="00664C9F"/>
    <w:rsid w:val="0067270A"/>
    <w:rsid w:val="00672B43"/>
    <w:rsid w:val="00672F7F"/>
    <w:rsid w:val="00673048"/>
    <w:rsid w:val="0067562C"/>
    <w:rsid w:val="00676D98"/>
    <w:rsid w:val="00677DCC"/>
    <w:rsid w:val="0068019A"/>
    <w:rsid w:val="00683899"/>
    <w:rsid w:val="006845F1"/>
    <w:rsid w:val="00685027"/>
    <w:rsid w:val="006853C7"/>
    <w:rsid w:val="0068627C"/>
    <w:rsid w:val="00691009"/>
    <w:rsid w:val="00691CD4"/>
    <w:rsid w:val="00693A54"/>
    <w:rsid w:val="0069414A"/>
    <w:rsid w:val="006975B2"/>
    <w:rsid w:val="006A3ACB"/>
    <w:rsid w:val="006A4DB5"/>
    <w:rsid w:val="006A5D61"/>
    <w:rsid w:val="006B2989"/>
    <w:rsid w:val="006C1296"/>
    <w:rsid w:val="006C2619"/>
    <w:rsid w:val="006C41C7"/>
    <w:rsid w:val="006C6FA2"/>
    <w:rsid w:val="006D31C5"/>
    <w:rsid w:val="006D6963"/>
    <w:rsid w:val="006E0E12"/>
    <w:rsid w:val="006E2A4A"/>
    <w:rsid w:val="006E6A86"/>
    <w:rsid w:val="006E6E0D"/>
    <w:rsid w:val="006E7477"/>
    <w:rsid w:val="006E7FE5"/>
    <w:rsid w:val="006F01D2"/>
    <w:rsid w:val="006F05BE"/>
    <w:rsid w:val="006F08E7"/>
    <w:rsid w:val="006F10FE"/>
    <w:rsid w:val="006F407B"/>
    <w:rsid w:val="006F7C60"/>
    <w:rsid w:val="007005D9"/>
    <w:rsid w:val="00701DB1"/>
    <w:rsid w:val="0070211F"/>
    <w:rsid w:val="00704E61"/>
    <w:rsid w:val="00705E0C"/>
    <w:rsid w:val="0070612D"/>
    <w:rsid w:val="007072FD"/>
    <w:rsid w:val="007111C9"/>
    <w:rsid w:val="00712A47"/>
    <w:rsid w:val="00712E1C"/>
    <w:rsid w:val="0071419A"/>
    <w:rsid w:val="00715FCD"/>
    <w:rsid w:val="00720414"/>
    <w:rsid w:val="00724862"/>
    <w:rsid w:val="00726341"/>
    <w:rsid w:val="0073084F"/>
    <w:rsid w:val="00732F9E"/>
    <w:rsid w:val="0073325E"/>
    <w:rsid w:val="0073687D"/>
    <w:rsid w:val="00736D91"/>
    <w:rsid w:val="00737A4C"/>
    <w:rsid w:val="007405CA"/>
    <w:rsid w:val="0074195F"/>
    <w:rsid w:val="00747644"/>
    <w:rsid w:val="00752D0A"/>
    <w:rsid w:val="0075590D"/>
    <w:rsid w:val="00755D7C"/>
    <w:rsid w:val="00757549"/>
    <w:rsid w:val="00757C5B"/>
    <w:rsid w:val="00760B1B"/>
    <w:rsid w:val="0076177B"/>
    <w:rsid w:val="00761C70"/>
    <w:rsid w:val="0076449B"/>
    <w:rsid w:val="007663E7"/>
    <w:rsid w:val="007672BC"/>
    <w:rsid w:val="00770B80"/>
    <w:rsid w:val="00770D83"/>
    <w:rsid w:val="00773F05"/>
    <w:rsid w:val="007742F1"/>
    <w:rsid w:val="007758E6"/>
    <w:rsid w:val="00775ADA"/>
    <w:rsid w:val="0077614A"/>
    <w:rsid w:val="00787B6C"/>
    <w:rsid w:val="00790A64"/>
    <w:rsid w:val="007918AB"/>
    <w:rsid w:val="00793E7C"/>
    <w:rsid w:val="00795F3D"/>
    <w:rsid w:val="007A26B8"/>
    <w:rsid w:val="007A37D6"/>
    <w:rsid w:val="007A62CD"/>
    <w:rsid w:val="007B0380"/>
    <w:rsid w:val="007B42E1"/>
    <w:rsid w:val="007B6BB6"/>
    <w:rsid w:val="007B6DA3"/>
    <w:rsid w:val="007B7354"/>
    <w:rsid w:val="007C31EA"/>
    <w:rsid w:val="007C742F"/>
    <w:rsid w:val="007D0D96"/>
    <w:rsid w:val="007D131F"/>
    <w:rsid w:val="007D17AC"/>
    <w:rsid w:val="007D2921"/>
    <w:rsid w:val="007D4230"/>
    <w:rsid w:val="007D436E"/>
    <w:rsid w:val="007D7010"/>
    <w:rsid w:val="007E0DBA"/>
    <w:rsid w:val="007E470C"/>
    <w:rsid w:val="007E7968"/>
    <w:rsid w:val="007E7E12"/>
    <w:rsid w:val="007F0FFC"/>
    <w:rsid w:val="007F789D"/>
    <w:rsid w:val="00805AE2"/>
    <w:rsid w:val="00810A1B"/>
    <w:rsid w:val="00810D8B"/>
    <w:rsid w:val="00810DD8"/>
    <w:rsid w:val="0082223F"/>
    <w:rsid w:val="0082273F"/>
    <w:rsid w:val="00822A19"/>
    <w:rsid w:val="00824C2A"/>
    <w:rsid w:val="00827395"/>
    <w:rsid w:val="00827B7D"/>
    <w:rsid w:val="00830C29"/>
    <w:rsid w:val="0083100C"/>
    <w:rsid w:val="0083407F"/>
    <w:rsid w:val="0083422A"/>
    <w:rsid w:val="00834F4A"/>
    <w:rsid w:val="00836109"/>
    <w:rsid w:val="0083778A"/>
    <w:rsid w:val="0084238F"/>
    <w:rsid w:val="00842750"/>
    <w:rsid w:val="00854F7C"/>
    <w:rsid w:val="008611CE"/>
    <w:rsid w:val="0086197D"/>
    <w:rsid w:val="00864506"/>
    <w:rsid w:val="00865146"/>
    <w:rsid w:val="0086699B"/>
    <w:rsid w:val="008714F9"/>
    <w:rsid w:val="00872A09"/>
    <w:rsid w:val="008733AC"/>
    <w:rsid w:val="00876E5C"/>
    <w:rsid w:val="00877FD1"/>
    <w:rsid w:val="00880487"/>
    <w:rsid w:val="00882D7D"/>
    <w:rsid w:val="008855E9"/>
    <w:rsid w:val="0089345C"/>
    <w:rsid w:val="00894767"/>
    <w:rsid w:val="008968A5"/>
    <w:rsid w:val="00896F96"/>
    <w:rsid w:val="008A0C7D"/>
    <w:rsid w:val="008A2BA1"/>
    <w:rsid w:val="008A4189"/>
    <w:rsid w:val="008A43C9"/>
    <w:rsid w:val="008A5727"/>
    <w:rsid w:val="008A5C3E"/>
    <w:rsid w:val="008A5F8A"/>
    <w:rsid w:val="008B2DDB"/>
    <w:rsid w:val="008B48C4"/>
    <w:rsid w:val="008C104C"/>
    <w:rsid w:val="008C3E38"/>
    <w:rsid w:val="008C46EC"/>
    <w:rsid w:val="008D00E5"/>
    <w:rsid w:val="008D1649"/>
    <w:rsid w:val="008D2C2C"/>
    <w:rsid w:val="008D3F4B"/>
    <w:rsid w:val="008D40BF"/>
    <w:rsid w:val="008D5275"/>
    <w:rsid w:val="008D7A10"/>
    <w:rsid w:val="008D7D43"/>
    <w:rsid w:val="008E0F00"/>
    <w:rsid w:val="008E1C54"/>
    <w:rsid w:val="008E211F"/>
    <w:rsid w:val="008E22CE"/>
    <w:rsid w:val="008E38CE"/>
    <w:rsid w:val="008E3C6B"/>
    <w:rsid w:val="008E3E45"/>
    <w:rsid w:val="008F0015"/>
    <w:rsid w:val="008F06B0"/>
    <w:rsid w:val="008F2DB8"/>
    <w:rsid w:val="008F3DF2"/>
    <w:rsid w:val="008F7F82"/>
    <w:rsid w:val="00905D6D"/>
    <w:rsid w:val="009063AA"/>
    <w:rsid w:val="0091029B"/>
    <w:rsid w:val="00910EE2"/>
    <w:rsid w:val="009124F4"/>
    <w:rsid w:val="00913360"/>
    <w:rsid w:val="0091345D"/>
    <w:rsid w:val="00914F89"/>
    <w:rsid w:val="00916FE7"/>
    <w:rsid w:val="009221E8"/>
    <w:rsid w:val="0092233E"/>
    <w:rsid w:val="00922DDF"/>
    <w:rsid w:val="0092539C"/>
    <w:rsid w:val="0092584F"/>
    <w:rsid w:val="00932BE6"/>
    <w:rsid w:val="00933F27"/>
    <w:rsid w:val="0093666B"/>
    <w:rsid w:val="00940314"/>
    <w:rsid w:val="009412BF"/>
    <w:rsid w:val="00943D6A"/>
    <w:rsid w:val="00950535"/>
    <w:rsid w:val="00954C95"/>
    <w:rsid w:val="00956199"/>
    <w:rsid w:val="00957419"/>
    <w:rsid w:val="009636D1"/>
    <w:rsid w:val="009652F1"/>
    <w:rsid w:val="00965B57"/>
    <w:rsid w:val="00966A8F"/>
    <w:rsid w:val="0097036A"/>
    <w:rsid w:val="0097104B"/>
    <w:rsid w:val="00972457"/>
    <w:rsid w:val="00976360"/>
    <w:rsid w:val="009772F0"/>
    <w:rsid w:val="0097766B"/>
    <w:rsid w:val="00981290"/>
    <w:rsid w:val="009814FD"/>
    <w:rsid w:val="00981C53"/>
    <w:rsid w:val="00982713"/>
    <w:rsid w:val="00984193"/>
    <w:rsid w:val="00986153"/>
    <w:rsid w:val="00991992"/>
    <w:rsid w:val="00992B29"/>
    <w:rsid w:val="00993D47"/>
    <w:rsid w:val="00997456"/>
    <w:rsid w:val="0099785F"/>
    <w:rsid w:val="009A0B78"/>
    <w:rsid w:val="009A1E3B"/>
    <w:rsid w:val="009A2844"/>
    <w:rsid w:val="009A3848"/>
    <w:rsid w:val="009A609E"/>
    <w:rsid w:val="009B05D1"/>
    <w:rsid w:val="009B084F"/>
    <w:rsid w:val="009B3E66"/>
    <w:rsid w:val="009B4E93"/>
    <w:rsid w:val="009B72C9"/>
    <w:rsid w:val="009B7626"/>
    <w:rsid w:val="009C1624"/>
    <w:rsid w:val="009C2E71"/>
    <w:rsid w:val="009C38E9"/>
    <w:rsid w:val="009C5772"/>
    <w:rsid w:val="009C65FA"/>
    <w:rsid w:val="009C79B4"/>
    <w:rsid w:val="009D37E3"/>
    <w:rsid w:val="009D3CD6"/>
    <w:rsid w:val="009D49C5"/>
    <w:rsid w:val="009D58D4"/>
    <w:rsid w:val="009D6BC9"/>
    <w:rsid w:val="009D7DB8"/>
    <w:rsid w:val="009E08DF"/>
    <w:rsid w:val="009E0D09"/>
    <w:rsid w:val="009E0E11"/>
    <w:rsid w:val="009E1823"/>
    <w:rsid w:val="009E75DA"/>
    <w:rsid w:val="009E782A"/>
    <w:rsid w:val="009F2317"/>
    <w:rsid w:val="009F2371"/>
    <w:rsid w:val="009F3189"/>
    <w:rsid w:val="009F5E03"/>
    <w:rsid w:val="009F64F8"/>
    <w:rsid w:val="00A009E3"/>
    <w:rsid w:val="00A0175F"/>
    <w:rsid w:val="00A042D0"/>
    <w:rsid w:val="00A068B9"/>
    <w:rsid w:val="00A06EDF"/>
    <w:rsid w:val="00A10B8A"/>
    <w:rsid w:val="00A119B2"/>
    <w:rsid w:val="00A12159"/>
    <w:rsid w:val="00A13ACF"/>
    <w:rsid w:val="00A13BBF"/>
    <w:rsid w:val="00A16407"/>
    <w:rsid w:val="00A177DC"/>
    <w:rsid w:val="00A202D6"/>
    <w:rsid w:val="00A206FA"/>
    <w:rsid w:val="00A22AD0"/>
    <w:rsid w:val="00A2557F"/>
    <w:rsid w:val="00A266ED"/>
    <w:rsid w:val="00A2769D"/>
    <w:rsid w:val="00A34BE4"/>
    <w:rsid w:val="00A402F2"/>
    <w:rsid w:val="00A41C78"/>
    <w:rsid w:val="00A45EC7"/>
    <w:rsid w:val="00A50DEA"/>
    <w:rsid w:val="00A53340"/>
    <w:rsid w:val="00A53B8E"/>
    <w:rsid w:val="00A53BDA"/>
    <w:rsid w:val="00A56B57"/>
    <w:rsid w:val="00A57012"/>
    <w:rsid w:val="00A6067C"/>
    <w:rsid w:val="00A6222B"/>
    <w:rsid w:val="00A63EA7"/>
    <w:rsid w:val="00A65ECB"/>
    <w:rsid w:val="00A65F6E"/>
    <w:rsid w:val="00A7136D"/>
    <w:rsid w:val="00A71E22"/>
    <w:rsid w:val="00A72471"/>
    <w:rsid w:val="00A72C8D"/>
    <w:rsid w:val="00A73AD7"/>
    <w:rsid w:val="00A803E1"/>
    <w:rsid w:val="00A84CB0"/>
    <w:rsid w:val="00A902A2"/>
    <w:rsid w:val="00A90DBE"/>
    <w:rsid w:val="00A91C7B"/>
    <w:rsid w:val="00A93007"/>
    <w:rsid w:val="00A93DE7"/>
    <w:rsid w:val="00A94C2F"/>
    <w:rsid w:val="00A94E02"/>
    <w:rsid w:val="00AA0A8B"/>
    <w:rsid w:val="00AA341C"/>
    <w:rsid w:val="00AA52C5"/>
    <w:rsid w:val="00AA5902"/>
    <w:rsid w:val="00AB08FC"/>
    <w:rsid w:val="00AB2C99"/>
    <w:rsid w:val="00AB34BF"/>
    <w:rsid w:val="00AB45F7"/>
    <w:rsid w:val="00AB5D6C"/>
    <w:rsid w:val="00AB6863"/>
    <w:rsid w:val="00AC1A15"/>
    <w:rsid w:val="00AC4F14"/>
    <w:rsid w:val="00AC7106"/>
    <w:rsid w:val="00AD1E1A"/>
    <w:rsid w:val="00AD216F"/>
    <w:rsid w:val="00AD3F62"/>
    <w:rsid w:val="00AD4AE1"/>
    <w:rsid w:val="00AD5842"/>
    <w:rsid w:val="00AD7FEE"/>
    <w:rsid w:val="00AE14C9"/>
    <w:rsid w:val="00AE3869"/>
    <w:rsid w:val="00AE3CB1"/>
    <w:rsid w:val="00AE6F30"/>
    <w:rsid w:val="00AF367A"/>
    <w:rsid w:val="00AF5859"/>
    <w:rsid w:val="00AF73BE"/>
    <w:rsid w:val="00B00544"/>
    <w:rsid w:val="00B04770"/>
    <w:rsid w:val="00B05E89"/>
    <w:rsid w:val="00B07B38"/>
    <w:rsid w:val="00B1044F"/>
    <w:rsid w:val="00B13BB1"/>
    <w:rsid w:val="00B1525A"/>
    <w:rsid w:val="00B160A7"/>
    <w:rsid w:val="00B16A4C"/>
    <w:rsid w:val="00B220E6"/>
    <w:rsid w:val="00B2319D"/>
    <w:rsid w:val="00B23589"/>
    <w:rsid w:val="00B23A6E"/>
    <w:rsid w:val="00B26254"/>
    <w:rsid w:val="00B309BC"/>
    <w:rsid w:val="00B31C24"/>
    <w:rsid w:val="00B33894"/>
    <w:rsid w:val="00B3585E"/>
    <w:rsid w:val="00B36232"/>
    <w:rsid w:val="00B36DC6"/>
    <w:rsid w:val="00B43A78"/>
    <w:rsid w:val="00B460D9"/>
    <w:rsid w:val="00B51FCA"/>
    <w:rsid w:val="00B55F77"/>
    <w:rsid w:val="00B6034D"/>
    <w:rsid w:val="00B62203"/>
    <w:rsid w:val="00B6295F"/>
    <w:rsid w:val="00B65AF2"/>
    <w:rsid w:val="00B72262"/>
    <w:rsid w:val="00B74AEC"/>
    <w:rsid w:val="00B7661D"/>
    <w:rsid w:val="00B822DF"/>
    <w:rsid w:val="00B827AE"/>
    <w:rsid w:val="00BA31F0"/>
    <w:rsid w:val="00BA593F"/>
    <w:rsid w:val="00BA797E"/>
    <w:rsid w:val="00BB1756"/>
    <w:rsid w:val="00BB36CD"/>
    <w:rsid w:val="00BC01FD"/>
    <w:rsid w:val="00BC20CE"/>
    <w:rsid w:val="00BC4E24"/>
    <w:rsid w:val="00BD0109"/>
    <w:rsid w:val="00BD2751"/>
    <w:rsid w:val="00BD2883"/>
    <w:rsid w:val="00BD36A7"/>
    <w:rsid w:val="00BD39DE"/>
    <w:rsid w:val="00BD4F4D"/>
    <w:rsid w:val="00BD57C8"/>
    <w:rsid w:val="00BD5C73"/>
    <w:rsid w:val="00BE0E33"/>
    <w:rsid w:val="00BE0FFF"/>
    <w:rsid w:val="00BE3F8B"/>
    <w:rsid w:val="00BE4C8F"/>
    <w:rsid w:val="00BE4E33"/>
    <w:rsid w:val="00BE5C33"/>
    <w:rsid w:val="00BE7772"/>
    <w:rsid w:val="00BE7EAE"/>
    <w:rsid w:val="00BF09DF"/>
    <w:rsid w:val="00BF5C96"/>
    <w:rsid w:val="00C000C7"/>
    <w:rsid w:val="00C0176F"/>
    <w:rsid w:val="00C01D6C"/>
    <w:rsid w:val="00C066B4"/>
    <w:rsid w:val="00C06A84"/>
    <w:rsid w:val="00C107BC"/>
    <w:rsid w:val="00C12990"/>
    <w:rsid w:val="00C15227"/>
    <w:rsid w:val="00C20619"/>
    <w:rsid w:val="00C2236E"/>
    <w:rsid w:val="00C26BFB"/>
    <w:rsid w:val="00C32144"/>
    <w:rsid w:val="00C32C58"/>
    <w:rsid w:val="00C32F09"/>
    <w:rsid w:val="00C365CB"/>
    <w:rsid w:val="00C40619"/>
    <w:rsid w:val="00C41A61"/>
    <w:rsid w:val="00C453F2"/>
    <w:rsid w:val="00C5071A"/>
    <w:rsid w:val="00C50F43"/>
    <w:rsid w:val="00C5155A"/>
    <w:rsid w:val="00C519DB"/>
    <w:rsid w:val="00C52D76"/>
    <w:rsid w:val="00C62424"/>
    <w:rsid w:val="00C63134"/>
    <w:rsid w:val="00C638C1"/>
    <w:rsid w:val="00C64161"/>
    <w:rsid w:val="00C659A6"/>
    <w:rsid w:val="00C65B42"/>
    <w:rsid w:val="00C66978"/>
    <w:rsid w:val="00C7050A"/>
    <w:rsid w:val="00C75230"/>
    <w:rsid w:val="00C76DC8"/>
    <w:rsid w:val="00C83EB3"/>
    <w:rsid w:val="00C860FF"/>
    <w:rsid w:val="00C865E4"/>
    <w:rsid w:val="00C87E01"/>
    <w:rsid w:val="00CA12B1"/>
    <w:rsid w:val="00CA69AA"/>
    <w:rsid w:val="00CA7B30"/>
    <w:rsid w:val="00CB0254"/>
    <w:rsid w:val="00CB2499"/>
    <w:rsid w:val="00CB42F8"/>
    <w:rsid w:val="00CB6E44"/>
    <w:rsid w:val="00CB7D72"/>
    <w:rsid w:val="00CC1A41"/>
    <w:rsid w:val="00CC4D89"/>
    <w:rsid w:val="00CC680C"/>
    <w:rsid w:val="00CD27C9"/>
    <w:rsid w:val="00CD487C"/>
    <w:rsid w:val="00CD5FF1"/>
    <w:rsid w:val="00CE0C86"/>
    <w:rsid w:val="00CE1C71"/>
    <w:rsid w:val="00CE5812"/>
    <w:rsid w:val="00CE7FA9"/>
    <w:rsid w:val="00CF1755"/>
    <w:rsid w:val="00CF31B6"/>
    <w:rsid w:val="00CF5530"/>
    <w:rsid w:val="00D01522"/>
    <w:rsid w:val="00D021D3"/>
    <w:rsid w:val="00D02808"/>
    <w:rsid w:val="00D036FA"/>
    <w:rsid w:val="00D03BFB"/>
    <w:rsid w:val="00D0551E"/>
    <w:rsid w:val="00D067DB"/>
    <w:rsid w:val="00D06E1A"/>
    <w:rsid w:val="00D0753B"/>
    <w:rsid w:val="00D111BF"/>
    <w:rsid w:val="00D11918"/>
    <w:rsid w:val="00D11FAF"/>
    <w:rsid w:val="00D17639"/>
    <w:rsid w:val="00D244A4"/>
    <w:rsid w:val="00D2468A"/>
    <w:rsid w:val="00D25919"/>
    <w:rsid w:val="00D26770"/>
    <w:rsid w:val="00D30D1A"/>
    <w:rsid w:val="00D32FEA"/>
    <w:rsid w:val="00D3377B"/>
    <w:rsid w:val="00D33FD5"/>
    <w:rsid w:val="00D36F5F"/>
    <w:rsid w:val="00D37A8A"/>
    <w:rsid w:val="00D45364"/>
    <w:rsid w:val="00D455EC"/>
    <w:rsid w:val="00D479E2"/>
    <w:rsid w:val="00D50FA2"/>
    <w:rsid w:val="00D533E3"/>
    <w:rsid w:val="00D5424B"/>
    <w:rsid w:val="00D578E4"/>
    <w:rsid w:val="00D62F6B"/>
    <w:rsid w:val="00D64149"/>
    <w:rsid w:val="00D660AF"/>
    <w:rsid w:val="00D746B3"/>
    <w:rsid w:val="00D77D62"/>
    <w:rsid w:val="00D80BA8"/>
    <w:rsid w:val="00D82D6E"/>
    <w:rsid w:val="00D83BB6"/>
    <w:rsid w:val="00D93320"/>
    <w:rsid w:val="00D93C38"/>
    <w:rsid w:val="00D9454D"/>
    <w:rsid w:val="00DA26A7"/>
    <w:rsid w:val="00DA5E97"/>
    <w:rsid w:val="00DA622B"/>
    <w:rsid w:val="00DA629D"/>
    <w:rsid w:val="00DA6925"/>
    <w:rsid w:val="00DB0008"/>
    <w:rsid w:val="00DB00D8"/>
    <w:rsid w:val="00DB595D"/>
    <w:rsid w:val="00DC328F"/>
    <w:rsid w:val="00DC3AFC"/>
    <w:rsid w:val="00DC4ED5"/>
    <w:rsid w:val="00DC50E5"/>
    <w:rsid w:val="00DC7CF9"/>
    <w:rsid w:val="00DD0D2C"/>
    <w:rsid w:val="00DD2461"/>
    <w:rsid w:val="00DD260D"/>
    <w:rsid w:val="00DD290F"/>
    <w:rsid w:val="00DD5FAE"/>
    <w:rsid w:val="00DD7D53"/>
    <w:rsid w:val="00DE27AF"/>
    <w:rsid w:val="00DE4802"/>
    <w:rsid w:val="00DE4972"/>
    <w:rsid w:val="00DE616B"/>
    <w:rsid w:val="00DF00E7"/>
    <w:rsid w:val="00DF0935"/>
    <w:rsid w:val="00DF0FC2"/>
    <w:rsid w:val="00DF2ED3"/>
    <w:rsid w:val="00DF315D"/>
    <w:rsid w:val="00DF4741"/>
    <w:rsid w:val="00DF4C3F"/>
    <w:rsid w:val="00DF66CD"/>
    <w:rsid w:val="00E002F0"/>
    <w:rsid w:val="00E02AF8"/>
    <w:rsid w:val="00E02B45"/>
    <w:rsid w:val="00E02EEE"/>
    <w:rsid w:val="00E0710F"/>
    <w:rsid w:val="00E07AB0"/>
    <w:rsid w:val="00E138F9"/>
    <w:rsid w:val="00E23B79"/>
    <w:rsid w:val="00E2475F"/>
    <w:rsid w:val="00E2525B"/>
    <w:rsid w:val="00E309CA"/>
    <w:rsid w:val="00E319E1"/>
    <w:rsid w:val="00E330CC"/>
    <w:rsid w:val="00E37272"/>
    <w:rsid w:val="00E376F6"/>
    <w:rsid w:val="00E45ED9"/>
    <w:rsid w:val="00E461AD"/>
    <w:rsid w:val="00E535BD"/>
    <w:rsid w:val="00E5759F"/>
    <w:rsid w:val="00E57A7A"/>
    <w:rsid w:val="00E57EDD"/>
    <w:rsid w:val="00E61325"/>
    <w:rsid w:val="00E643F2"/>
    <w:rsid w:val="00E645E0"/>
    <w:rsid w:val="00E6745E"/>
    <w:rsid w:val="00E70D68"/>
    <w:rsid w:val="00E710A3"/>
    <w:rsid w:val="00E7229A"/>
    <w:rsid w:val="00E724C3"/>
    <w:rsid w:val="00E82282"/>
    <w:rsid w:val="00E838B9"/>
    <w:rsid w:val="00E85041"/>
    <w:rsid w:val="00E85755"/>
    <w:rsid w:val="00E8732E"/>
    <w:rsid w:val="00E92D18"/>
    <w:rsid w:val="00E92F80"/>
    <w:rsid w:val="00EA0A7D"/>
    <w:rsid w:val="00EA3FFA"/>
    <w:rsid w:val="00EA7D5A"/>
    <w:rsid w:val="00EB433A"/>
    <w:rsid w:val="00EB751F"/>
    <w:rsid w:val="00EC0A84"/>
    <w:rsid w:val="00EC1C26"/>
    <w:rsid w:val="00EC71AB"/>
    <w:rsid w:val="00EC7747"/>
    <w:rsid w:val="00ED026C"/>
    <w:rsid w:val="00ED0D6C"/>
    <w:rsid w:val="00ED17D1"/>
    <w:rsid w:val="00ED52E9"/>
    <w:rsid w:val="00ED5482"/>
    <w:rsid w:val="00ED6208"/>
    <w:rsid w:val="00ED7BDD"/>
    <w:rsid w:val="00EE5023"/>
    <w:rsid w:val="00EE55F3"/>
    <w:rsid w:val="00EE628D"/>
    <w:rsid w:val="00EF0576"/>
    <w:rsid w:val="00EF13B1"/>
    <w:rsid w:val="00EF1E0E"/>
    <w:rsid w:val="00EF24C9"/>
    <w:rsid w:val="00EF4779"/>
    <w:rsid w:val="00EF6039"/>
    <w:rsid w:val="00EF6232"/>
    <w:rsid w:val="00EF62FD"/>
    <w:rsid w:val="00F10AA9"/>
    <w:rsid w:val="00F11939"/>
    <w:rsid w:val="00F128A2"/>
    <w:rsid w:val="00F12E15"/>
    <w:rsid w:val="00F13DA0"/>
    <w:rsid w:val="00F14763"/>
    <w:rsid w:val="00F27447"/>
    <w:rsid w:val="00F41CFA"/>
    <w:rsid w:val="00F42194"/>
    <w:rsid w:val="00F43A82"/>
    <w:rsid w:val="00F4456C"/>
    <w:rsid w:val="00F449A7"/>
    <w:rsid w:val="00F45C79"/>
    <w:rsid w:val="00F45E21"/>
    <w:rsid w:val="00F45E42"/>
    <w:rsid w:val="00F46A4B"/>
    <w:rsid w:val="00F50125"/>
    <w:rsid w:val="00F50B27"/>
    <w:rsid w:val="00F53180"/>
    <w:rsid w:val="00F5483F"/>
    <w:rsid w:val="00F6141A"/>
    <w:rsid w:val="00F62F2D"/>
    <w:rsid w:val="00F64F41"/>
    <w:rsid w:val="00F65275"/>
    <w:rsid w:val="00F67E83"/>
    <w:rsid w:val="00F7699A"/>
    <w:rsid w:val="00F81EBC"/>
    <w:rsid w:val="00F82F65"/>
    <w:rsid w:val="00F8388A"/>
    <w:rsid w:val="00F83A09"/>
    <w:rsid w:val="00F84BDE"/>
    <w:rsid w:val="00F8540F"/>
    <w:rsid w:val="00F90364"/>
    <w:rsid w:val="00F90EC1"/>
    <w:rsid w:val="00F920A2"/>
    <w:rsid w:val="00F923FD"/>
    <w:rsid w:val="00F974A5"/>
    <w:rsid w:val="00FA1125"/>
    <w:rsid w:val="00FA7237"/>
    <w:rsid w:val="00FB1605"/>
    <w:rsid w:val="00FB39EF"/>
    <w:rsid w:val="00FB632E"/>
    <w:rsid w:val="00FB7029"/>
    <w:rsid w:val="00FB77EA"/>
    <w:rsid w:val="00FC23C4"/>
    <w:rsid w:val="00FC2C06"/>
    <w:rsid w:val="00FC5128"/>
    <w:rsid w:val="00FC6BDF"/>
    <w:rsid w:val="00FC7B32"/>
    <w:rsid w:val="00FD427F"/>
    <w:rsid w:val="00FD54FA"/>
    <w:rsid w:val="00FD5604"/>
    <w:rsid w:val="00FD59A3"/>
    <w:rsid w:val="00FD678E"/>
    <w:rsid w:val="00FE0235"/>
    <w:rsid w:val="00FE136F"/>
    <w:rsid w:val="00FE4E61"/>
    <w:rsid w:val="00FE58F8"/>
    <w:rsid w:val="00FE65F8"/>
    <w:rsid w:val="00FF0B6C"/>
    <w:rsid w:val="00FF151F"/>
    <w:rsid w:val="00FF4816"/>
    <w:rsid w:val="00FF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5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77DC"/>
    <w:pPr>
      <w:ind w:left="720"/>
      <w:contextualSpacing/>
    </w:pPr>
  </w:style>
  <w:style w:type="paragraph" w:styleId="FootnoteText">
    <w:name w:val="footnote text"/>
    <w:basedOn w:val="Normal"/>
    <w:link w:val="FootnoteTextChar"/>
    <w:uiPriority w:val="99"/>
    <w:semiHidden/>
    <w:rsid w:val="001C2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E4F"/>
    <w:rPr>
      <w:sz w:val="20"/>
      <w:szCs w:val="20"/>
    </w:rPr>
  </w:style>
  <w:style w:type="character" w:styleId="FootnoteReference">
    <w:name w:val="footnote reference"/>
    <w:basedOn w:val="DefaultParagraphFont"/>
    <w:uiPriority w:val="99"/>
    <w:semiHidden/>
    <w:rsid w:val="001C2E4F"/>
    <w:rPr>
      <w:vertAlign w:val="superscript"/>
    </w:rPr>
  </w:style>
  <w:style w:type="paragraph" w:styleId="Header">
    <w:name w:val="header"/>
    <w:basedOn w:val="Normal"/>
    <w:link w:val="HeaderChar"/>
    <w:uiPriority w:val="99"/>
    <w:semiHidden/>
    <w:rsid w:val="003F3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36E0"/>
  </w:style>
  <w:style w:type="paragraph" w:styleId="Footer">
    <w:name w:val="footer"/>
    <w:basedOn w:val="Normal"/>
    <w:link w:val="FooterChar"/>
    <w:uiPriority w:val="99"/>
    <w:rsid w:val="003F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6E0"/>
  </w:style>
  <w:style w:type="paragraph" w:styleId="BalloonText">
    <w:name w:val="Balloon Text"/>
    <w:basedOn w:val="Normal"/>
    <w:link w:val="BalloonTextChar"/>
    <w:uiPriority w:val="99"/>
    <w:semiHidden/>
    <w:rsid w:val="00587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12E"/>
    <w:rPr>
      <w:rFonts w:ascii="Tahoma" w:hAnsi="Tahoma" w:cs="Tahoma"/>
      <w:sz w:val="16"/>
      <w:szCs w:val="16"/>
    </w:rPr>
  </w:style>
  <w:style w:type="character" w:styleId="PageNumber">
    <w:name w:val="page number"/>
    <w:basedOn w:val="DefaultParagraphFont"/>
    <w:uiPriority w:val="99"/>
    <w:rsid w:val="000F7CE1"/>
  </w:style>
  <w:style w:type="paragraph" w:styleId="Revision">
    <w:name w:val="Revision"/>
    <w:hidden/>
    <w:uiPriority w:val="99"/>
    <w:semiHidden/>
    <w:rsid w:val="00AD5842"/>
    <w:rPr>
      <w:rFonts w:cs="Calibri"/>
    </w:rPr>
  </w:style>
  <w:style w:type="character" w:styleId="Hyperlink">
    <w:name w:val="Hyperlink"/>
    <w:basedOn w:val="DefaultParagraphFont"/>
    <w:uiPriority w:val="99"/>
    <w:unhideWhenUsed/>
    <w:rsid w:val="0073325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5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77DC"/>
    <w:pPr>
      <w:ind w:left="720"/>
      <w:contextualSpacing/>
    </w:pPr>
  </w:style>
  <w:style w:type="paragraph" w:styleId="FootnoteText">
    <w:name w:val="footnote text"/>
    <w:basedOn w:val="Normal"/>
    <w:link w:val="FootnoteTextChar"/>
    <w:uiPriority w:val="99"/>
    <w:semiHidden/>
    <w:rsid w:val="001C2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E4F"/>
    <w:rPr>
      <w:sz w:val="20"/>
      <w:szCs w:val="20"/>
    </w:rPr>
  </w:style>
  <w:style w:type="character" w:styleId="FootnoteReference">
    <w:name w:val="footnote reference"/>
    <w:basedOn w:val="DefaultParagraphFont"/>
    <w:uiPriority w:val="99"/>
    <w:semiHidden/>
    <w:rsid w:val="001C2E4F"/>
    <w:rPr>
      <w:vertAlign w:val="superscript"/>
    </w:rPr>
  </w:style>
  <w:style w:type="paragraph" w:styleId="Header">
    <w:name w:val="header"/>
    <w:basedOn w:val="Normal"/>
    <w:link w:val="HeaderChar"/>
    <w:uiPriority w:val="99"/>
    <w:semiHidden/>
    <w:rsid w:val="003F3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36E0"/>
  </w:style>
  <w:style w:type="paragraph" w:styleId="Footer">
    <w:name w:val="footer"/>
    <w:basedOn w:val="Normal"/>
    <w:link w:val="FooterChar"/>
    <w:uiPriority w:val="99"/>
    <w:rsid w:val="003F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6E0"/>
  </w:style>
  <w:style w:type="paragraph" w:styleId="BalloonText">
    <w:name w:val="Balloon Text"/>
    <w:basedOn w:val="Normal"/>
    <w:link w:val="BalloonTextChar"/>
    <w:uiPriority w:val="99"/>
    <w:semiHidden/>
    <w:rsid w:val="00587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12E"/>
    <w:rPr>
      <w:rFonts w:ascii="Tahoma" w:hAnsi="Tahoma" w:cs="Tahoma"/>
      <w:sz w:val="16"/>
      <w:szCs w:val="16"/>
    </w:rPr>
  </w:style>
  <w:style w:type="character" w:styleId="PageNumber">
    <w:name w:val="page number"/>
    <w:basedOn w:val="DefaultParagraphFont"/>
    <w:uiPriority w:val="99"/>
    <w:rsid w:val="000F7CE1"/>
  </w:style>
  <w:style w:type="paragraph" w:styleId="Revision">
    <w:name w:val="Revision"/>
    <w:hidden/>
    <w:uiPriority w:val="99"/>
    <w:semiHidden/>
    <w:rsid w:val="00AD5842"/>
    <w:rPr>
      <w:rFonts w:cs="Calibri"/>
    </w:rPr>
  </w:style>
  <w:style w:type="character" w:styleId="Hyperlink">
    <w:name w:val="Hyperlink"/>
    <w:basedOn w:val="DefaultParagraphFont"/>
    <w:uiPriority w:val="99"/>
    <w:unhideWhenUsed/>
    <w:rsid w:val="00733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ointoforder/recess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2401-E9DB-4F44-84AD-0511EA0A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12670</Words>
  <Characters>72222</Characters>
  <Application>Microsoft Macintosh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BARNETT SIVON &amp; NATTER, P</vt:lpstr>
    </vt:vector>
  </TitlesOfParts>
  <Company/>
  <LinksUpToDate>false</LinksUpToDate>
  <CharactersWithSpaces>84723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BARNETT SIVON &amp; NATTER, P</dc:title>
  <dc:creator>M.Rosenberg</dc:creator>
  <cp:lastModifiedBy>Michael Stern</cp:lastModifiedBy>
  <cp:revision>2</cp:revision>
  <cp:lastPrinted>2012-07-27T19:50:00Z</cp:lastPrinted>
  <dcterms:created xsi:type="dcterms:W3CDTF">2012-09-04T17:37:00Z</dcterms:created>
  <dcterms:modified xsi:type="dcterms:W3CDTF">2012-09-04T17:37:00Z</dcterms:modified>
</cp:coreProperties>
</file>